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55" w:rsidRDefault="00361F55">
      <w:pPr>
        <w:pStyle w:val="ConsPlusNormal"/>
        <w:jc w:val="right"/>
        <w:outlineLvl w:val="0"/>
      </w:pPr>
      <w:bookmarkStart w:id="0" w:name="_GoBack"/>
      <w:r>
        <w:t>Приложение № 16</w:t>
      </w:r>
    </w:p>
    <w:bookmarkEnd w:id="0"/>
    <w:p w:rsidR="00361F55" w:rsidRDefault="00361F55">
      <w:pPr>
        <w:pStyle w:val="ConsPlusNormal"/>
        <w:jc w:val="right"/>
      </w:pPr>
      <w:r>
        <w:t xml:space="preserve">к Договору о </w:t>
      </w:r>
      <w:proofErr w:type="gramStart"/>
      <w:r>
        <w:t>Евразийском</w:t>
      </w:r>
      <w:proofErr w:type="gramEnd"/>
    </w:p>
    <w:p w:rsidR="00361F55" w:rsidRDefault="00361F55">
      <w:pPr>
        <w:pStyle w:val="ConsPlusNormal"/>
        <w:jc w:val="right"/>
      </w:pPr>
      <w:r>
        <w:t xml:space="preserve">экономическом </w:t>
      </w:r>
      <w:proofErr w:type="gramStart"/>
      <w:r>
        <w:t>союзе</w:t>
      </w:r>
      <w:proofErr w:type="gramEnd"/>
    </w:p>
    <w:p w:rsidR="00361F55" w:rsidRDefault="00361F55">
      <w:pPr>
        <w:pStyle w:val="ConsPlusNormal"/>
        <w:jc w:val="both"/>
      </w:pPr>
    </w:p>
    <w:p w:rsidR="00361F55" w:rsidRDefault="00361F55">
      <w:pPr>
        <w:pStyle w:val="ConsPlusTitle"/>
        <w:jc w:val="center"/>
      </w:pPr>
      <w:r>
        <w:t>ПРОТОКОЛ</w:t>
      </w:r>
    </w:p>
    <w:p w:rsidR="00361F55" w:rsidRDefault="00361F55">
      <w:pPr>
        <w:pStyle w:val="ConsPlusTitle"/>
        <w:jc w:val="center"/>
      </w:pPr>
      <w:r>
        <w:t>О ТОРГОВЛЕ УСЛУГАМИ, УЧРЕЖДЕНИИ, ДЕЯТЕЛЬНОСТИ И ОСУЩЕСТВЛЕНИИ ИНВЕСТИЦИЙ</w:t>
      </w:r>
    </w:p>
    <w:p w:rsidR="00361F55" w:rsidRDefault="00361F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1F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1F55" w:rsidRDefault="00361F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Договора</w:t>
              </w:r>
            </w:hyperlink>
            <w:r>
              <w:rPr>
                <w:color w:val="392C69"/>
              </w:rPr>
              <w:t xml:space="preserve"> от 10.10.2014,</w:t>
            </w:r>
            <w:proofErr w:type="gramEnd"/>
          </w:p>
          <w:p w:rsidR="00361F55" w:rsidRDefault="00361F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Протоколов от </w:t>
            </w:r>
            <w:hyperlink r:id="rId6" w:history="1">
              <w:r>
                <w:rPr>
                  <w:color w:val="0000FF"/>
                </w:rPr>
                <w:t>08.05.2015</w:t>
              </w:r>
            </w:hyperlink>
            <w:r>
              <w:rPr>
                <w:color w:val="392C69"/>
              </w:rPr>
              <w:t xml:space="preserve">, от </w:t>
            </w:r>
            <w:hyperlink r:id="rId7" w:history="1">
              <w:r>
                <w:rPr>
                  <w:color w:val="0000FF"/>
                </w:rPr>
                <w:t>01.10.2019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361F55" w:rsidRDefault="00361F55">
      <w:pPr>
        <w:pStyle w:val="ConsPlusNormal"/>
        <w:jc w:val="both"/>
      </w:pPr>
    </w:p>
    <w:p w:rsidR="00361F55" w:rsidRDefault="00361F55">
      <w:pPr>
        <w:pStyle w:val="ConsPlusNormal"/>
        <w:jc w:val="center"/>
        <w:outlineLvl w:val="1"/>
      </w:pPr>
      <w:r>
        <w:rPr>
          <w:b/>
        </w:rPr>
        <w:t>I. Общие положения</w:t>
      </w:r>
    </w:p>
    <w:p w:rsidR="00361F55" w:rsidRDefault="00361F55">
      <w:pPr>
        <w:pStyle w:val="ConsPlusNormal"/>
        <w:jc w:val="both"/>
      </w:pPr>
    </w:p>
    <w:p w:rsidR="00361F55" w:rsidRDefault="00361F55">
      <w:pPr>
        <w:pStyle w:val="ConsPlusNormal"/>
        <w:ind w:firstLine="540"/>
        <w:jc w:val="both"/>
      </w:pPr>
      <w:r>
        <w:t xml:space="preserve">1. Настоящий Протокол разработан в соответствии со </w:t>
      </w:r>
      <w:hyperlink r:id="rId8" w:history="1">
        <w:r>
          <w:rPr>
            <w:color w:val="0000FF"/>
          </w:rPr>
          <w:t>статьями 65</w:t>
        </w:r>
      </w:hyperlink>
      <w:r>
        <w:t xml:space="preserve"> - </w:t>
      </w:r>
      <w:hyperlink r:id="rId9" w:history="1">
        <w:r>
          <w:rPr>
            <w:color w:val="0000FF"/>
          </w:rPr>
          <w:t>69</w:t>
        </w:r>
      </w:hyperlink>
      <w:r>
        <w:t xml:space="preserve"> Договора о Евразийском экономическом союзе (далее - Договор) и определяет правовые основы регулирования торговли услугами, учреждения, деятельности и осуществления инвестиций в государствах-членах.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2. Положения настоящего Протокола применяются к любым мерам государств-членов, затрагивающим поставку и получение услуг, учреждение, деятельность и осуществление инвестиций.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Особенности правоотношений, возникающих в связи с торговлей услугами электросвязи, определяются согласно </w:t>
      </w:r>
      <w:hyperlink r:id="rId10" w:history="1">
        <w:r>
          <w:rPr>
            <w:color w:val="0000FF"/>
          </w:rPr>
          <w:t>приложению N 1</w:t>
        </w:r>
      </w:hyperlink>
      <w:r>
        <w:t xml:space="preserve"> к настоящему Протоколу.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"Горизонтальные" ограничения, сохраняемые государствами-членами в отношении всех секторов и видов деятельности, определены согласно </w:t>
      </w:r>
      <w:hyperlink r:id="rId11" w:history="1">
        <w:r>
          <w:rPr>
            <w:color w:val="0000FF"/>
          </w:rPr>
          <w:t>приложению N 2</w:t>
        </w:r>
      </w:hyperlink>
      <w:r>
        <w:t xml:space="preserve"> к настоящему Протоколу.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Индивидуальные национальные перечни ограничений, изъятий, дополнительных требований и условий (далее - национальные перечни), предусмотренные </w:t>
      </w:r>
      <w:hyperlink r:id="rId12" w:history="1">
        <w:r>
          <w:rPr>
            <w:color w:val="0000FF"/>
          </w:rPr>
          <w:t>пунктами 15</w:t>
        </w:r>
      </w:hyperlink>
      <w:r>
        <w:t xml:space="preserve"> - </w:t>
      </w:r>
      <w:hyperlink r:id="rId13" w:history="1">
        <w:r>
          <w:rPr>
            <w:color w:val="0000FF"/>
          </w:rPr>
          <w:t>17</w:t>
        </w:r>
      </w:hyperlink>
      <w:r>
        <w:t xml:space="preserve">, </w:t>
      </w:r>
      <w:hyperlink r:id="rId14" w:history="1">
        <w:r>
          <w:rPr>
            <w:color w:val="0000FF"/>
          </w:rPr>
          <w:t>23</w:t>
        </w:r>
      </w:hyperlink>
      <w:r>
        <w:t xml:space="preserve">, </w:t>
      </w:r>
      <w:hyperlink r:id="rId15" w:history="1">
        <w:r>
          <w:rPr>
            <w:color w:val="0000FF"/>
          </w:rPr>
          <w:t>26</w:t>
        </w:r>
      </w:hyperlink>
      <w:r>
        <w:t xml:space="preserve">, </w:t>
      </w:r>
      <w:hyperlink r:id="rId16" w:history="1">
        <w:r>
          <w:rPr>
            <w:color w:val="0000FF"/>
          </w:rPr>
          <w:t>28</w:t>
        </w:r>
      </w:hyperlink>
      <w:r>
        <w:t xml:space="preserve">, </w:t>
      </w:r>
      <w:hyperlink r:id="rId17" w:history="1">
        <w:r>
          <w:rPr>
            <w:color w:val="0000FF"/>
          </w:rPr>
          <w:t>31</w:t>
        </w:r>
      </w:hyperlink>
      <w:r>
        <w:t xml:space="preserve">, </w:t>
      </w:r>
      <w:hyperlink r:id="rId18" w:history="1">
        <w:r>
          <w:rPr>
            <w:color w:val="0000FF"/>
          </w:rPr>
          <w:t>33</w:t>
        </w:r>
      </w:hyperlink>
      <w:r>
        <w:t xml:space="preserve"> и </w:t>
      </w:r>
      <w:hyperlink r:id="rId19" w:history="1">
        <w:r>
          <w:rPr>
            <w:color w:val="0000FF"/>
          </w:rPr>
          <w:t>35</w:t>
        </w:r>
      </w:hyperlink>
      <w:r>
        <w:t xml:space="preserve"> настоящего Протокола, утверждаются Высшим советом.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3. </w:t>
      </w:r>
      <w:proofErr w:type="gramStart"/>
      <w:r>
        <w:t xml:space="preserve">Положения настоящего Протокола применяются к созданным, приобретенным, контролируемым юридическим лицам государств-членов, открытым филиалам, представительствам, зарегистрированным индивидуальным предпринимателям, продолжающим существовать на дату вступления в силу Договора, а также к созданным, приобретенным, контролируемым юридическим лицам государств-членов, открытым </w:t>
      </w:r>
      <w:r>
        <w:lastRenderedPageBreak/>
        <w:t>филиалам, представительствам, зарегистрированным индивидуальным предпринимателям после вступления Договора в силу.</w:t>
      </w:r>
      <w:proofErr w:type="gramEnd"/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Несмотря на положения </w:t>
      </w:r>
      <w:hyperlink r:id="rId20" w:history="1">
        <w:r>
          <w:rPr>
            <w:color w:val="0000FF"/>
          </w:rPr>
          <w:t>пунктов 15</w:t>
        </w:r>
      </w:hyperlink>
      <w:r>
        <w:t xml:space="preserve"> - </w:t>
      </w:r>
      <w:hyperlink r:id="rId21" w:history="1">
        <w:r>
          <w:rPr>
            <w:color w:val="0000FF"/>
          </w:rPr>
          <w:t>17</w:t>
        </w:r>
      </w:hyperlink>
      <w:r>
        <w:t xml:space="preserve">, </w:t>
      </w:r>
      <w:hyperlink r:id="rId22" w:history="1">
        <w:r>
          <w:rPr>
            <w:color w:val="0000FF"/>
          </w:rPr>
          <w:t>21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, </w:t>
      </w:r>
      <w:hyperlink r:id="rId24" w:history="1">
        <w:r>
          <w:rPr>
            <w:color w:val="0000FF"/>
          </w:rPr>
          <w:t>27</w:t>
        </w:r>
      </w:hyperlink>
      <w:r>
        <w:t xml:space="preserve">, </w:t>
      </w:r>
      <w:hyperlink r:id="rId25" w:history="1">
        <w:r>
          <w:rPr>
            <w:color w:val="0000FF"/>
          </w:rPr>
          <w:t>30</w:t>
        </w:r>
      </w:hyperlink>
      <w:r>
        <w:t xml:space="preserve"> и </w:t>
      </w:r>
      <w:hyperlink r:id="rId26" w:history="1">
        <w:r>
          <w:rPr>
            <w:color w:val="0000FF"/>
          </w:rPr>
          <w:t>32</w:t>
        </w:r>
      </w:hyperlink>
      <w:r>
        <w:t xml:space="preserve"> настоящего Протокола, государства-члены сохраняют за собой право принимать и применять любые меры в отношении новых услуг, то есть не существующих на дату вступления настоящего Договора в силу.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В случае принятия или применения меры, которая затрагивает новую услугу и несовместима с положениями указанных пунктов, государство-член информирует другие государства-члены и Комиссию о такой мере не позднее 1 месяца </w:t>
      </w:r>
      <w:proofErr w:type="gramStart"/>
      <w:r>
        <w:t>с даты</w:t>
      </w:r>
      <w:proofErr w:type="gramEnd"/>
      <w:r>
        <w:t xml:space="preserve"> ее принятия или применения в зависимости от того, что наступило раньше. Соответствующие изменения в национальный перечень такого государства-члена утверждаются решением Высшего совета.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4. </w:t>
      </w:r>
      <w:proofErr w:type="gramStart"/>
      <w:r>
        <w:t xml:space="preserve">В отношении способов поставки услуг, указанных в </w:t>
      </w:r>
      <w:hyperlink w:anchor="P5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5" w:history="1">
        <w:r>
          <w:rPr>
            <w:color w:val="0000FF"/>
          </w:rPr>
          <w:t>третьем подпункта 22 пункта 6</w:t>
        </w:r>
      </w:hyperlink>
      <w:r>
        <w:t xml:space="preserve"> настоящего Протокола, положения настоящего Протокола не применяются к правам перевозки воздушным транспортом и услугам, непосредственно относящимся к правам перевозки, за исключением ремонтного и эксплуатационного обслуживания самолетов, поставки и маркетинга авиатранспортных услуг, а также услуг компьютерной системы резервирования.</w:t>
      </w:r>
      <w:proofErr w:type="gramEnd"/>
    </w:p>
    <w:p w:rsidR="00361F55" w:rsidRDefault="00361F55">
      <w:pPr>
        <w:pStyle w:val="ConsPlusNormal"/>
        <w:spacing w:before="300"/>
        <w:ind w:firstLine="540"/>
        <w:jc w:val="both"/>
      </w:pPr>
      <w:r>
        <w:t>5. Государства-члены не используют смягчение требований, предусмотренных их законодательством и касающихся защиты жизни и здоровья людей, окружающей среды, национальной безопасности, а также трудовых стандартов, в качестве механизма привлечения лиц других государств-членов, а также лиц третьих госуда</w:t>
      </w:r>
      <w:proofErr w:type="gramStart"/>
      <w:r>
        <w:t>рств дл</w:t>
      </w:r>
      <w:proofErr w:type="gramEnd"/>
      <w:r>
        <w:t>я учреждения на территориях государств-членов.</w:t>
      </w:r>
    </w:p>
    <w:p w:rsidR="00361F55" w:rsidRDefault="00361F55">
      <w:pPr>
        <w:pStyle w:val="ConsPlusNormal"/>
        <w:jc w:val="both"/>
      </w:pPr>
    </w:p>
    <w:p w:rsidR="00361F55" w:rsidRDefault="00361F55">
      <w:pPr>
        <w:pStyle w:val="ConsPlusNormal"/>
        <w:jc w:val="center"/>
        <w:outlineLvl w:val="1"/>
      </w:pPr>
      <w:r>
        <w:rPr>
          <w:b/>
        </w:rPr>
        <w:t>II. Определения и понятия</w:t>
      </w:r>
    </w:p>
    <w:p w:rsidR="00361F55" w:rsidRDefault="00361F55">
      <w:pPr>
        <w:pStyle w:val="ConsPlusNormal"/>
        <w:jc w:val="both"/>
      </w:pPr>
    </w:p>
    <w:p w:rsidR="00361F55" w:rsidRDefault="00361F55">
      <w:pPr>
        <w:pStyle w:val="ConsPlusNormal"/>
        <w:ind w:firstLine="540"/>
        <w:jc w:val="both"/>
      </w:pPr>
      <w:r>
        <w:t>6. Понятия, используемые в настоящем Протоколе, означают следующее: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1) "государство-реципиент" - государство-член, на территории которого осуществляются инвестиции инвесторами других государств-членов;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2) "деятельность" - предпринимательская и иная деятельность (включая торговлю услугами и производство товаров) юридических лиц, филиалов, представительств или индивидуальных </w:t>
      </w:r>
      <w:r>
        <w:lastRenderedPageBreak/>
        <w:t xml:space="preserve">предпринимателей, перечисленных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64" w:history="1">
        <w:r>
          <w:rPr>
            <w:color w:val="0000FF"/>
          </w:rPr>
          <w:t>шестом подпункта 24</w:t>
        </w:r>
      </w:hyperlink>
      <w:r>
        <w:t xml:space="preserve"> настоящего пункта;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3) "деятельность в связи с инвестициями" - владение, пользование и (или) распоряжение инвестициями;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4) "доходы" - средства, получаемые в результате осуществления инвестиций, в частности дивиденды, проценты, а также лицензионные, комиссионные и другие вознаграждения;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5) "законодательство государства-члена" - законы и иные нормативные правовые акты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6) "заявитель" - лицо одного государства-члена, обратившееся в компетентный орган этого или другого государства-члена с заявлением о предоставлении разрешения;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7) "инвестиции" - материальные и нематериальные ценности, вкладываемые инвестором одного государства-члена в объекты предпринимательской деятельности на территории другого государства-члена в соответствии с законодательством последнего, в том числе: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денежные средства (деньги), ценные бумаги, иное имущество;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права на осуществление предпринимательской деятельности, предоставляемые на основе законодательства государств-членов или по договору, включая, в частности, права на разведку, разработку, добычу и эксплуатацию природных ресурсов;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имущественные и иные права, имеющие денежную оценку;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8) "инвестор государства-члена" - любое лицо государства-члена, осуществляющее инвестиции на территории другого государства-члена в соответствии с законодательством последнего;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9) "компетентный орган" - любой орган или любая организация, в рамках полномочий, делегированных им государством-членом, осуществляющие контрольную, разрешительную или иную регулирующую функцию в отношении вопросов, охватываемых настоящим Протоколом, в частности административные органы, суды, профессиональные объединения, ассоциации;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10) "лицо государства-члена" - любое физическое или юридическое </w:t>
      </w:r>
      <w:r>
        <w:lastRenderedPageBreak/>
        <w:t>лицо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11) "мера государства-члена" - законодательство государства-члена, а также любое решение, действие или бездействие органа или должностного лица этого государства-члена, которые приняты или применяются на любом уровне государственной власти, органами местного самоуправления или организациями при осуществлении ими полномочий, делегированных им такими органами.</w:t>
      </w:r>
    </w:p>
    <w:p w:rsidR="00361F55" w:rsidRDefault="00361F55">
      <w:pPr>
        <w:pStyle w:val="ConsPlusNormal"/>
        <w:spacing w:before="300"/>
        <w:ind w:firstLine="540"/>
        <w:jc w:val="both"/>
      </w:pPr>
      <w:proofErr w:type="gramStart"/>
      <w:r>
        <w:t>В случае принятия (издания) органом государства-члена официального документа, имеющего рекомендательный характер, такая рекомендация может быть признана мерой государства-члена, применяемой для целей настоящего Протокола в случае, если будет доказано, что на практике преимущественная часть адресатов данной рекомендации (органы государственной, региональной и (или) муниципальной власти, неправительственные органы, а также лица данного государства-члена, лица других государств-членов, лица любого третьего государства) следуют ей;</w:t>
      </w:r>
      <w:proofErr w:type="gramEnd"/>
    </w:p>
    <w:p w:rsidR="00361F55" w:rsidRDefault="00361F55">
      <w:pPr>
        <w:pStyle w:val="ConsPlusNormal"/>
        <w:spacing w:before="300"/>
        <w:ind w:firstLine="540"/>
        <w:jc w:val="both"/>
      </w:pPr>
      <w:r>
        <w:t>12) "получатель услуги" - любое лицо государства-члена, которому поставляется услуга или которое намерено воспользоваться услугой;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13) "поставщик услуг" - любое лицо государства-члена, которое поставляет услугу;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14) "представительство" -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защиту;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15) "разрешение" - предусмотренное законодательством государства-члена,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действий, в том числе посредством включения в реестр, выдачи официального документа (лицензии, согласования, заключения, аттестата, свидетельства, сертификата и т.п.). При этом разрешение может выдаваться по итогам конкурсного отбора;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16) "разрешительные процедуры" - совокупность процедур, реализуемых компетентными органами в соответствии с законодательством государства-члена, связанных с выдачей и переоформлением разрешений и их дубликатов, прекращением, приостановлением и возобновлением либо продлением срока действия, </w:t>
      </w:r>
      <w:r>
        <w:lastRenderedPageBreak/>
        <w:t>лишением (аннулированием) разрешений, отказом в выдаче разрешений, а также рассмотрением жалоб по таким вопросам;</w:t>
      </w:r>
    </w:p>
    <w:p w:rsidR="00361F55" w:rsidRDefault="00361F55">
      <w:pPr>
        <w:pStyle w:val="ConsPlusNormal"/>
        <w:spacing w:before="300"/>
        <w:ind w:firstLine="540"/>
        <w:jc w:val="both"/>
      </w:pPr>
      <w:proofErr w:type="gramStart"/>
      <w:r>
        <w:t>17) "разрешительные требования" - совокупность стандартов и (или) требований (в том числе лицензионных, квалификационных) к заявителю, владельцу разрешения и (или) поставляемой услуге, осуществляемой деятельности, соответствующей законодательству государства-члена, направленных на обеспечение достижения целей регулирования, установленных законодательством государства-члена.</w:t>
      </w:r>
      <w:proofErr w:type="gramEnd"/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В отношении разрешений на осуществление деятельности разрешительные требования </w:t>
      </w:r>
      <w:proofErr w:type="gramStart"/>
      <w:r>
        <w:t>могут</w:t>
      </w:r>
      <w:proofErr w:type="gramEnd"/>
      <w:r>
        <w:t xml:space="preserve">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18) "режим" - совокупность мер государств-членов;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19) "сектор услуги":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в отношении </w:t>
      </w:r>
      <w:hyperlink r:id="rId27" w:history="1">
        <w:r>
          <w:rPr>
            <w:color w:val="0000FF"/>
          </w:rPr>
          <w:t>приложения N 2</w:t>
        </w:r>
      </w:hyperlink>
      <w:r>
        <w:t xml:space="preserve"> к настоящему Протоколу, а также в отношении перечней, утверждаемых Высшим советом, - один, несколько или все подсектора отдельной услуги;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в иных случаях - весь сектор услуги, включая все ее подсектора;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20) "территория государства-члена" - территория государства-члена, а также его исключительная экономическая зона и континентальный шельф, в отношении </w:t>
      </w:r>
      <w:proofErr w:type="gramStart"/>
      <w:r>
        <w:t>которых</w:t>
      </w:r>
      <w:proofErr w:type="gramEnd"/>
      <w:r>
        <w:t xml:space="preserve"> оно осуществляет суверенные права и юрисдикцию в соответствии с международным правом и своим законодательством;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21) "тест на экономическую целесообразность" - </w:t>
      </w:r>
      <w:proofErr w:type="spellStart"/>
      <w:r>
        <w:t>обусловливание</w:t>
      </w:r>
      <w:proofErr w:type="spellEnd"/>
      <w:r>
        <w:t xml:space="preserve"> выдачи соответствующих разрешений доказательством наличия экономической необходимости или потребностей рынка,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планирования, установленным компетентным органом. </w:t>
      </w:r>
      <w:proofErr w:type="gramStart"/>
      <w:r>
        <w:t xml:space="preserve">Данное понятие не охватывает условия, которые связаны с планированием неэкономического характера и обоснованы соображениями общественного интереса, такими как социальная политика, выполнение программ социально-экономического развития, утверждаемых местными органами власти в пределах их компетенции, </w:t>
      </w:r>
      <w:r>
        <w:lastRenderedPageBreak/>
        <w:t>или охрана городской среды обитания, в том числе выполнение градостроительных планов;</w:t>
      </w:r>
      <w:proofErr w:type="gramEnd"/>
    </w:p>
    <w:p w:rsidR="00361F55" w:rsidRDefault="00361F55">
      <w:pPr>
        <w:pStyle w:val="ConsPlusNormal"/>
        <w:spacing w:before="300"/>
        <w:ind w:firstLine="540"/>
        <w:jc w:val="both"/>
      </w:pPr>
      <w:r>
        <w:t>22) "торговля услугами" - поставка услуг, включающая в себя производство, распределение, маркетинг, продажу и доставку услуг и осуществляемая следующими способами:</w:t>
      </w:r>
    </w:p>
    <w:p w:rsidR="00361F55" w:rsidRDefault="00361F55">
      <w:pPr>
        <w:pStyle w:val="ConsPlusNormal"/>
        <w:spacing w:before="300"/>
        <w:ind w:firstLine="540"/>
        <w:jc w:val="both"/>
      </w:pPr>
      <w:bookmarkStart w:id="1" w:name="P54"/>
      <w:bookmarkEnd w:id="1"/>
      <w:r>
        <w:t>с территории одного государства-члена на территорию любого другого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bookmarkStart w:id="2" w:name="P55"/>
      <w:bookmarkEnd w:id="2"/>
      <w:r>
        <w:t>на территории одного государства-члена лицом этого государства-члена получателю услуг другого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поставщиком услуг одного государства-члена путем учреждения на территории другого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поставщиком услуг одного государства-члена путем присутствия физических лиц этого государства-члена на территории другого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23) "третье государство" - государство, не являющееся государством-членом;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24) "учреждение":</w:t>
      </w:r>
    </w:p>
    <w:p w:rsidR="00361F55" w:rsidRDefault="00361F55">
      <w:pPr>
        <w:pStyle w:val="ConsPlusNormal"/>
        <w:spacing w:before="300"/>
        <w:ind w:firstLine="540"/>
        <w:jc w:val="both"/>
      </w:pPr>
      <w:bookmarkStart w:id="3" w:name="P60"/>
      <w:bookmarkEnd w:id="3"/>
      <w:r>
        <w:t xml:space="preserve">создание и (или) приобретение юридического лица (участие в капитале созданного или учрежденного юридического лица) любой организационно-правовой формы и формы собственности, </w:t>
      </w:r>
      <w:proofErr w:type="gramStart"/>
      <w:r>
        <w:t>предусмотренных</w:t>
      </w:r>
      <w:proofErr w:type="gramEnd"/>
      <w:r>
        <w:t xml:space="preserve"> законодательством государства-члена, на территории которого такое юридическое лицо создается или учреждается;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приобретение контроля над юридическим лицом государства-члена, выражающееся в получении возможности непосредственно или через третьих лиц определять решения, принимаемые таким юридическим лицом, в том числе путем распоряжения голосами, приходящимися на голосующие акции (доли), путем участия в совете директоров (наблюдательном совете) и в иных органах управления такого юридического лица;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открытие филиала;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открытие представительства;</w:t>
      </w:r>
    </w:p>
    <w:p w:rsidR="00361F55" w:rsidRDefault="00361F55">
      <w:pPr>
        <w:pStyle w:val="ConsPlusNormal"/>
        <w:spacing w:before="300"/>
        <w:ind w:firstLine="540"/>
        <w:jc w:val="both"/>
      </w:pPr>
      <w:bookmarkStart w:id="4" w:name="P64"/>
      <w:bookmarkEnd w:id="4"/>
      <w:r>
        <w:lastRenderedPageBreak/>
        <w:t>регистрация в качестве индивидуального предпринимателя.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 xml:space="preserve">Учреждение </w:t>
      </w:r>
      <w:proofErr w:type="gramStart"/>
      <w:r>
        <w:t>осуществляется</w:t>
      </w:r>
      <w:proofErr w:type="gramEnd"/>
      <w:r>
        <w:t xml:space="preserve"> в том числе для целей торговли услугами и (или) производства товаров;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25) "физическое лицо государства-члена" - гражданин государства-члена в соответствии с законодательством государства-члена;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26) "филиал" -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представительства;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27) "юридическое лицо государства-члена" - организация любой организационно-правовой формы, созданная или учрежденная на территории государства-члена в соответствии с законодательством этого государства-члена.</w:t>
      </w:r>
    </w:p>
    <w:p w:rsidR="00361F55" w:rsidRDefault="00361F55">
      <w:pPr>
        <w:pStyle w:val="ConsPlusNormal"/>
        <w:spacing w:before="300"/>
        <w:ind w:firstLine="540"/>
        <w:jc w:val="both"/>
      </w:pPr>
      <w:r>
        <w:t>7. Для целей настоящего Протокола сектора услуг определяются и классифицируются на основе Международного классификатора основных продуктов, утвержденного Статистической комиссией Секретариата Организации Объединенных Наций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>).</w:t>
      </w:r>
    </w:p>
    <w:p w:rsidR="00361F55" w:rsidRDefault="00361F55">
      <w:pPr>
        <w:spacing w:after="1" w:line="300" w:lineRule="atLeast"/>
        <w:jc w:val="center"/>
        <w:outlineLvl w:val="0"/>
        <w:rPr>
          <w:b/>
        </w:rPr>
      </w:pPr>
    </w:p>
    <w:p w:rsidR="00361F55" w:rsidRDefault="00361F55">
      <w:pPr>
        <w:spacing w:after="1" w:line="300" w:lineRule="atLeast"/>
        <w:jc w:val="center"/>
        <w:outlineLvl w:val="0"/>
      </w:pPr>
      <w:r>
        <w:rPr>
          <w:b/>
        </w:rPr>
        <w:t>VII. Инвестиции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1. Общие положения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r>
        <w:t>65. Положения настоящего раздела применяются в отношении всех инвестиций, осуществленных инвесторами государств-членов на территории другого государства-члена начиная с 16 декабря 1991 г.</w:t>
      </w:r>
    </w:p>
    <w:p w:rsidR="00361F55" w:rsidRDefault="00361F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1F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1F55" w:rsidRDefault="00361F55">
            <w:pPr>
              <w:spacing w:after="1" w:line="300" w:lineRule="atLeast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61F55" w:rsidRDefault="00361F55">
            <w:pPr>
              <w:spacing w:after="1" w:line="300" w:lineRule="atLeast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"пункта 6", а не "пункта 2".</w:t>
            </w:r>
          </w:p>
        </w:tc>
      </w:tr>
    </w:tbl>
    <w:p w:rsidR="00361F55" w:rsidRDefault="00361F55">
      <w:pPr>
        <w:spacing w:before="380" w:after="1" w:line="300" w:lineRule="atLeast"/>
        <w:ind w:firstLine="540"/>
        <w:jc w:val="both"/>
      </w:pPr>
      <w:r>
        <w:t xml:space="preserve">66. Одной из форм осуществления инвестиций является учреждение в понимании </w:t>
      </w:r>
      <w:hyperlink r:id="rId28" w:history="1">
        <w:r>
          <w:rPr>
            <w:color w:val="0000FF"/>
          </w:rPr>
          <w:t>подпункта 24 пункта 2</w:t>
        </w:r>
      </w:hyperlink>
      <w:r>
        <w:t xml:space="preserve"> настоящего Протокола. К таким инвестициям применяются положения настоящего Протокола, за исключением положений </w:t>
      </w:r>
      <w:hyperlink w:anchor="P13" w:history="1">
        <w:r>
          <w:rPr>
            <w:color w:val="0000FF"/>
          </w:rPr>
          <w:t>пунктов 69</w:t>
        </w:r>
      </w:hyperlink>
      <w:r>
        <w:t xml:space="preserve"> - </w:t>
      </w:r>
      <w:hyperlink w:anchor="P18" w:history="1">
        <w:r>
          <w:rPr>
            <w:color w:val="0000FF"/>
          </w:rPr>
          <w:t>74</w:t>
        </w:r>
      </w:hyperlink>
      <w:r>
        <w:t xml:space="preserve"> настоящего Протокола.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67. Изменение способов осуществления инвестиций, а также форм, в которых инвестиции вкладываются или реинвестируются, не влияет </w:t>
      </w:r>
      <w:r>
        <w:lastRenderedPageBreak/>
        <w:t>на их квалификацию в качестве инвестиций при условии, что такое изменение не противоречит законодательству государства-реципиента.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2. Правовой режим и защита инвестиций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bookmarkStart w:id="5" w:name="P12"/>
      <w:bookmarkEnd w:id="5"/>
      <w:r>
        <w:t>68. Каждое государство-член обеспечивает на своей территории справедливый и равноправный режим в отношении инвестиций и деятельности в связи с инвестициями, осуществляемых инвесторами других государств-членов.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6" w:name="P13"/>
      <w:bookmarkEnd w:id="6"/>
      <w:r>
        <w:t xml:space="preserve">69. Режим, указанный в </w:t>
      </w:r>
      <w:hyperlink w:anchor="P12" w:history="1">
        <w:r>
          <w:rPr>
            <w:color w:val="0000FF"/>
          </w:rPr>
          <w:t>пункте 68</w:t>
        </w:r>
      </w:hyperlink>
      <w:r>
        <w:t xml:space="preserve"> настоящего Протокола, должен быть не менее благоприятным, чем режим, который предоставляется этим государством-членом в отношении инвестиций и деятельности в связи с такими инвестициями, осуществляемых своими (национальными) инвесторами.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7" w:name="P14"/>
      <w:bookmarkEnd w:id="7"/>
      <w:r>
        <w:t>70. Каждое государство-член предоставляет при таких же (подобных) обстоятельствах инвесторам любого другого государства-члена, их инвестициям и деятельности, связанной с такими инвестициями, режим не менее благоприятный, чем режим, предоставляемый инвесторам любого третьего государства, их инвестициям и деятельности, связанной с такими инвестициями.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71. Режимы, предусмотренные </w:t>
      </w:r>
      <w:hyperlink w:anchor="P13" w:history="1">
        <w:r>
          <w:rPr>
            <w:color w:val="0000FF"/>
          </w:rPr>
          <w:t>пунктами 69</w:t>
        </w:r>
      </w:hyperlink>
      <w:r>
        <w:t xml:space="preserve"> и </w:t>
      </w:r>
      <w:hyperlink w:anchor="P14" w:history="1">
        <w:r>
          <w:rPr>
            <w:color w:val="0000FF"/>
          </w:rPr>
          <w:t>70</w:t>
        </w:r>
      </w:hyperlink>
      <w:r>
        <w:t xml:space="preserve"> настоящего Протокола, должны предоставляться государствами-членами по выбору инвестора в зависимости от того, какой из режимов является наиболее благоприятным.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72. Каждое государство-член создает благоприятные условия для осуществления на своей территории инвестиций инвесторам других государств-членов и допускает такие инвестиции в соответствии со своим законодательством.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73. Каждое государство-член в соответствии со своим законодательством оставляет за собой право ограничивать деятельность инвесторов других государств-членов, а также применять и вводить иные изъятия из национального режима, указанного в </w:t>
      </w:r>
      <w:hyperlink w:anchor="P13" w:history="1">
        <w:r>
          <w:rPr>
            <w:color w:val="0000FF"/>
          </w:rPr>
          <w:t>пункте 69</w:t>
        </w:r>
      </w:hyperlink>
      <w:r>
        <w:t xml:space="preserve"> настоящего Протокола.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8" w:name="P18"/>
      <w:bookmarkEnd w:id="8"/>
      <w:r>
        <w:t xml:space="preserve">74. Положения </w:t>
      </w:r>
      <w:hyperlink w:anchor="P14" w:history="1">
        <w:r>
          <w:rPr>
            <w:color w:val="0000FF"/>
          </w:rPr>
          <w:t>пункта 70</w:t>
        </w:r>
      </w:hyperlink>
      <w:r>
        <w:t xml:space="preserve"> настоящего Протокола не должны </w:t>
      </w:r>
      <w:proofErr w:type="gramStart"/>
      <w:r>
        <w:t>толковаться</w:t>
      </w:r>
      <w:proofErr w:type="gramEnd"/>
      <w:r>
        <w:t xml:space="preserve"> как обязывающие государство-член распространять на инвестиции и деятельность в связи с такими инвестициями инвесторов других государств-членов преимущества любого режима, преференции </w:t>
      </w:r>
      <w:r>
        <w:lastRenderedPageBreak/>
        <w:t xml:space="preserve">или привилегии, которые предоставляются или могут быть предоставлены в будущем этому государству-члену на основе международных договоров об </w:t>
      </w:r>
      <w:proofErr w:type="spellStart"/>
      <w:r>
        <w:t>избежании</w:t>
      </w:r>
      <w:proofErr w:type="spellEnd"/>
      <w:r>
        <w:t xml:space="preserve"> двойного налогообложения или других договоренностей по вопросам налогообложения, а также соглашений, указанных в </w:t>
      </w:r>
      <w:hyperlink r:id="rId29" w:history="1">
        <w:r>
          <w:rPr>
            <w:color w:val="0000FF"/>
          </w:rPr>
          <w:t>пункте 46</w:t>
        </w:r>
      </w:hyperlink>
      <w:r>
        <w:t xml:space="preserve"> настоящего Протокола.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75. Каждое государство-реципиент гарантирует инвесторам других государств-членов после выполнения ими всех налоговых и иных предусмотренных законодательством государства-реципиента обязательств: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1) право использовать и распоряжаться полученными в результате осуществления инвестиций доходами в любых целях, не запрещенных законодательством государства-реципиента;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2) исключен;</w:t>
      </w:r>
    </w:p>
    <w:p w:rsidR="00361F55" w:rsidRDefault="00361F55">
      <w:pPr>
        <w:spacing w:after="1" w:line="300" w:lineRule="atLeast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2 исключен.</w:t>
      </w:r>
      <w:proofErr w:type="gramEnd"/>
      <w:r>
        <w:t xml:space="preserve"> - </w:t>
      </w:r>
      <w:hyperlink r:id="rId30" w:history="1">
        <w:proofErr w:type="gramStart"/>
        <w:r>
          <w:rPr>
            <w:color w:val="0000FF"/>
          </w:rPr>
          <w:t>Протокол</w:t>
        </w:r>
      </w:hyperlink>
      <w:r>
        <w:t xml:space="preserve"> от 01.10.2019)</w:t>
      </w:r>
      <w:proofErr w:type="gramEnd"/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3) право беспрепятственно осуществлять в любую страну по усмотрению инвестора переводы денежных средств (денег) и платежей, связанных с инвестициями, указанных в </w:t>
      </w:r>
      <w:hyperlink r:id="rId31" w:history="1">
        <w:r>
          <w:rPr>
            <w:color w:val="0000FF"/>
          </w:rPr>
          <w:t>пункте 8</w:t>
        </w:r>
      </w:hyperlink>
      <w:r>
        <w:t xml:space="preserve"> настоящего Протокола.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76. Каждое государство-член гарантирует и обеспечивает в соответствии со своим законодательством защиту на своей территории инвестиций инвесторов других государств-членов.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3. Возмещение ущерба и гарантии инвесторов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bookmarkStart w:id="9" w:name="P28"/>
      <w:bookmarkEnd w:id="9"/>
      <w:r>
        <w:t>77. Инвесторы имеют право на возмещение ущерба, нанесенного их инвестициям в результате гражданских беспорядков, военных действий, революции, мятежа, введения чрезвычайного положения или иных подобных обстоятельств на территории государства-члена.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>78. При этом таким инвесторам предоставляется режим не менее благоприятный, чем тот, который государство-реципиент предоставляет своим национальным инвесторам или инвесторам третьего государства в отношении мер, принимаемых этим государством-членом в связи с возмещением такого ущерба, в зависимости от того, какой из режимов является наиболее благоприятным для инвестора.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4. Гарантии прав инвесторов при экспроприации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bookmarkStart w:id="10" w:name="P33"/>
      <w:bookmarkEnd w:id="10"/>
      <w:r>
        <w:t xml:space="preserve">79. </w:t>
      </w:r>
      <w:proofErr w:type="gramStart"/>
      <w:r>
        <w:t>Инвестиции инвесторов одного государства-члена, осуществленные на территории другого государства-члена, не могут быть подвергнуты прямо или косвенно экспроприации, национализации, а также иным мерам, равносильным по последствиям экспроприации или национализации (далее - экспроприация), за исключением случаев, когда такие меры принимаются в общественных интересах в установленном законодательством государства-реципиента порядке, не являются дискриминационными и сопровождаются выплатой быстрой и адекватной компенсации.</w:t>
      </w:r>
      <w:proofErr w:type="gramEnd"/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80. Компенсация, указанная в </w:t>
      </w:r>
      <w:hyperlink w:anchor="P33" w:history="1">
        <w:r>
          <w:rPr>
            <w:color w:val="0000FF"/>
          </w:rPr>
          <w:t>пункте 79</w:t>
        </w:r>
      </w:hyperlink>
      <w:r>
        <w:t xml:space="preserve"> настоящего Протокола, должна соответствовать рыночной стоимости экспроприируемых инвестиций инвесторов на дату, непосредственно предшествующую дате их фактической экспроприации либо дате, когда стало общеизвестно о предстоящей экспроприации.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11" w:name="P35"/>
      <w:bookmarkEnd w:id="11"/>
      <w:r>
        <w:t xml:space="preserve">81. Компенсация, указанная в </w:t>
      </w:r>
      <w:hyperlink w:anchor="P33" w:history="1">
        <w:r>
          <w:rPr>
            <w:color w:val="0000FF"/>
          </w:rPr>
          <w:t>пункте 79</w:t>
        </w:r>
      </w:hyperlink>
      <w:r>
        <w:t xml:space="preserve"> настоящего Протокола, выплачивается без задержки в срок, предусмотренный законодательством государства-реципиента, но не позднее 3 месяцев </w:t>
      </w:r>
      <w:proofErr w:type="gramStart"/>
      <w:r>
        <w:t>с даты экспроприации</w:t>
      </w:r>
      <w:proofErr w:type="gramEnd"/>
      <w:r>
        <w:t xml:space="preserve"> и свободно переводится за границу с территории государства-реципиента в свободно конвертируемой валюте.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В случае задержки выплаты компенсации </w:t>
      </w:r>
      <w:proofErr w:type="gramStart"/>
      <w:r>
        <w:t>с даты экспроприации</w:t>
      </w:r>
      <w:proofErr w:type="gramEnd"/>
      <w:r>
        <w:t xml:space="preserve"> до даты фактической выплаты компенсации на сумму компенсации начисляются проценты, рассчитываемые по ставке национального межбанковского рынка по фактически предоставленным кредитам в долларах США сроком до 6 месяцев, но не ниже ставки LIBOR, или в порядке, определяемом по договоренности между инвестором и государством-членом.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5. Переход прав инвесторов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bookmarkStart w:id="12" w:name="P40"/>
      <w:bookmarkEnd w:id="12"/>
      <w:r>
        <w:t>82. Государство-член или уполномоченный им орган,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государства-реципиента, могут осуществлять в порядке суброгации права инвестора в том же объеме, что и сам инвестор.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83. Права, указанные в </w:t>
      </w:r>
      <w:hyperlink w:anchor="P40" w:history="1">
        <w:r>
          <w:rPr>
            <w:color w:val="0000FF"/>
          </w:rPr>
          <w:t>пункте 82</w:t>
        </w:r>
      </w:hyperlink>
      <w:r>
        <w:t xml:space="preserve"> настоящего Протокола, осуществляются в соответствии с законодательством государства-</w:t>
      </w:r>
      <w:r>
        <w:lastRenderedPageBreak/>
        <w:t xml:space="preserve">реципиента, но без ущерба для положений </w:t>
      </w:r>
      <w:hyperlink r:id="rId32" w:history="1">
        <w:r>
          <w:rPr>
            <w:color w:val="0000FF"/>
          </w:rPr>
          <w:t>пунктов 21</w:t>
        </w:r>
      </w:hyperlink>
      <w:r>
        <w:t xml:space="preserve">, </w:t>
      </w:r>
      <w:hyperlink r:id="rId33" w:history="1">
        <w:r>
          <w:rPr>
            <w:color w:val="0000FF"/>
          </w:rPr>
          <w:t>24</w:t>
        </w:r>
      </w:hyperlink>
      <w:r>
        <w:t xml:space="preserve">, </w:t>
      </w:r>
      <w:hyperlink r:id="rId34" w:history="1">
        <w:r>
          <w:rPr>
            <w:color w:val="0000FF"/>
          </w:rPr>
          <w:t>27</w:t>
        </w:r>
      </w:hyperlink>
      <w:r>
        <w:t xml:space="preserve">, </w:t>
      </w:r>
      <w:hyperlink r:id="rId35" w:history="1">
        <w:r>
          <w:rPr>
            <w:color w:val="0000FF"/>
          </w:rPr>
          <w:t>29</w:t>
        </w:r>
      </w:hyperlink>
      <w:r>
        <w:t xml:space="preserve">, </w:t>
      </w:r>
      <w:hyperlink r:id="rId36" w:history="1">
        <w:r>
          <w:rPr>
            <w:color w:val="0000FF"/>
          </w:rPr>
          <w:t>30</w:t>
        </w:r>
      </w:hyperlink>
      <w:r>
        <w:t xml:space="preserve"> и </w:t>
      </w:r>
      <w:hyperlink r:id="rId37" w:history="1">
        <w:r>
          <w:rPr>
            <w:color w:val="0000FF"/>
          </w:rPr>
          <w:t>32</w:t>
        </w:r>
      </w:hyperlink>
      <w:r>
        <w:t xml:space="preserve"> настоящего Протокола.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jc w:val="center"/>
        <w:outlineLvl w:val="1"/>
      </w:pPr>
      <w:r>
        <w:rPr>
          <w:b/>
        </w:rPr>
        <w:t>6. Порядок разрешения инвестиционных споров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  <w:ind w:firstLine="540"/>
        <w:jc w:val="both"/>
      </w:pPr>
      <w:r>
        <w:t xml:space="preserve">84. </w:t>
      </w:r>
      <w:proofErr w:type="gramStart"/>
      <w:r>
        <w:t xml:space="preserve">Споры между государством-реципиентом и инвестором другого государства-члена, возникающие в связи с инвестициями данного инвестора на территории государства-реципиента, включая споры, касающиеся размера, условий или порядка выплаты сумм, полученных в качестве возмещения ущерба в соответствии с </w:t>
      </w:r>
      <w:hyperlink w:anchor="P28" w:history="1">
        <w:r>
          <w:rPr>
            <w:color w:val="0000FF"/>
          </w:rPr>
          <w:t>пунктом 77</w:t>
        </w:r>
      </w:hyperlink>
      <w:r>
        <w:t xml:space="preserve"> настоящего Протокола, и компенсации, предусмотренной </w:t>
      </w:r>
      <w:hyperlink w:anchor="P33" w:history="1">
        <w:r>
          <w:rPr>
            <w:color w:val="0000FF"/>
          </w:rPr>
          <w:t>пунктами 79</w:t>
        </w:r>
      </w:hyperlink>
      <w:r>
        <w:t xml:space="preserve"> - </w:t>
      </w:r>
      <w:hyperlink w:anchor="P35" w:history="1">
        <w:r>
          <w:rPr>
            <w:color w:val="0000FF"/>
          </w:rPr>
          <w:t>81</w:t>
        </w:r>
      </w:hyperlink>
      <w:r>
        <w:t xml:space="preserve"> настоящего Протокола, или порядка осуществления платежей и перевода денежных средств, предусмотренных </w:t>
      </w:r>
      <w:hyperlink r:id="rId38" w:history="1">
        <w:r>
          <w:rPr>
            <w:color w:val="0000FF"/>
          </w:rPr>
          <w:t>пунктом 8</w:t>
        </w:r>
      </w:hyperlink>
      <w:r>
        <w:t xml:space="preserve"> настоящего Протокола, разрешаются</w:t>
      </w:r>
      <w:proofErr w:type="gramEnd"/>
      <w:r>
        <w:t xml:space="preserve"> по возможности путем проведения переговоров.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13" w:name="P46"/>
      <w:bookmarkEnd w:id="13"/>
      <w:r>
        <w:t xml:space="preserve">85. Если спор не может быть разрешен путем проведения переговоров в течение 6 месяцев </w:t>
      </w:r>
      <w:proofErr w:type="gramStart"/>
      <w:r>
        <w:t>с даты</w:t>
      </w:r>
      <w:proofErr w:type="gramEnd"/>
      <w:r>
        <w:t xml:space="preserve"> письменного уведомления любой из сторон спора о проведении переговоров, то он может быть передан по выбору инвестора на рассмотрение: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14" w:name="P47"/>
      <w:bookmarkEnd w:id="14"/>
      <w:r>
        <w:t>1) суда государства-реципиента, компетентного рассматривать соответствующие споры;</w:t>
      </w:r>
    </w:p>
    <w:p w:rsidR="00361F55" w:rsidRDefault="00361F55">
      <w:pPr>
        <w:spacing w:before="300" w:after="1" w:line="300" w:lineRule="atLeast"/>
        <w:ind w:firstLine="540"/>
        <w:jc w:val="both"/>
      </w:pPr>
      <w:bookmarkStart w:id="15" w:name="P48"/>
      <w:bookmarkEnd w:id="15"/>
      <w:r>
        <w:t>2) международного коммерческого арбитража при торговой палате любого государства, согласованного участниками спора;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3) арбитражного суда </w:t>
      </w:r>
      <w:proofErr w:type="spellStart"/>
      <w:r>
        <w:t>ad</w:t>
      </w:r>
      <w:proofErr w:type="spellEnd"/>
      <w:r>
        <w:t xml:space="preserve"> </w:t>
      </w:r>
      <w:proofErr w:type="spellStart"/>
      <w:r>
        <w:t>hoc</w:t>
      </w:r>
      <w:proofErr w:type="spellEnd"/>
      <w:r>
        <w:t xml:space="preserve">, который, если стороны спора не согласятся на иное, должен быть создан и действовать согласно Арбитражному </w:t>
      </w:r>
      <w:hyperlink r:id="rId39" w:history="1">
        <w:r>
          <w:rPr>
            <w:color w:val="0000FF"/>
          </w:rPr>
          <w:t>регламенту</w:t>
        </w:r>
      </w:hyperlink>
      <w:r>
        <w:t xml:space="preserve"> Комиссии Организации Объединенных Наций по праву международной торговли (ЮНСИТРАЛ);</w:t>
      </w:r>
    </w:p>
    <w:p w:rsidR="00361F55" w:rsidRDefault="00361F55">
      <w:pPr>
        <w:spacing w:before="300" w:after="1" w:line="300" w:lineRule="atLeast"/>
        <w:ind w:firstLine="540"/>
        <w:jc w:val="both"/>
      </w:pPr>
      <w:proofErr w:type="gramStart"/>
      <w:r>
        <w:t xml:space="preserve">4) Международного центра по урегулированию инвестиционных споров, созданного в соответствии с </w:t>
      </w:r>
      <w:hyperlink r:id="rId40" w:history="1">
        <w:r>
          <w:rPr>
            <w:color w:val="0000FF"/>
          </w:rPr>
          <w:t>Конвенцией</w:t>
        </w:r>
      </w:hyperlink>
      <w:r>
        <w:t xml:space="preserve"> об урегулировании инвестиционных споров между государствами и физическими или юридическими лицами других государств от 18 марта 1965 года, для разрешения спора в соответствии с положениями этой Конвенции (при условии, что она вступила в силу для обоих государств-членов сторон спора) или в соответствии с Дополнительными правилами Международного центра по</w:t>
      </w:r>
      <w:proofErr w:type="gramEnd"/>
      <w:r>
        <w:t xml:space="preserve"> урегулированию инвестиционных споров (в случае если Конвенция не вступила в силу для обоих или одного из государств-членов сторон спора).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lastRenderedPageBreak/>
        <w:t xml:space="preserve">86. Инвестор, уже передавший спор для урегулирования в национальный суд либо в один из арбитражных судов, указанных в </w:t>
      </w:r>
      <w:hyperlink w:anchor="P47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48" w:history="1">
        <w:r>
          <w:rPr>
            <w:color w:val="0000FF"/>
          </w:rPr>
          <w:t>2 пункта 85</w:t>
        </w:r>
      </w:hyperlink>
      <w:r>
        <w:t xml:space="preserve"> настоящего Протокола, не имеет права перенаправить этот спор на рассмотрение в какой-либо другой суд или арбитражный суд.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Выбор инвестора в отношении суда или арбитражного суда, </w:t>
      </w:r>
      <w:proofErr w:type="gramStart"/>
      <w:r>
        <w:t>указанных</w:t>
      </w:r>
      <w:proofErr w:type="gramEnd"/>
      <w:r>
        <w:t xml:space="preserve"> в </w:t>
      </w:r>
      <w:hyperlink w:anchor="P46" w:history="1">
        <w:r>
          <w:rPr>
            <w:color w:val="0000FF"/>
          </w:rPr>
          <w:t>пункте 85</w:t>
        </w:r>
      </w:hyperlink>
      <w:r>
        <w:t xml:space="preserve"> настоящего Протокола, является окончательным.</w:t>
      </w:r>
    </w:p>
    <w:p w:rsidR="00361F55" w:rsidRDefault="00361F55">
      <w:pPr>
        <w:spacing w:before="300" w:after="1" w:line="300" w:lineRule="atLeast"/>
        <w:ind w:firstLine="540"/>
        <w:jc w:val="both"/>
      </w:pPr>
      <w:r>
        <w:t xml:space="preserve">87. Любое арбитражное решение по спору, рассматриваемому в соответствии с </w:t>
      </w:r>
      <w:hyperlink w:anchor="P46" w:history="1">
        <w:r>
          <w:rPr>
            <w:color w:val="0000FF"/>
          </w:rPr>
          <w:t>пунктом 85</w:t>
        </w:r>
      </w:hyperlink>
      <w:r>
        <w:t xml:space="preserve"> настоящего Протокола, является окончательным и обязательным для сторон спора. Каждое государство-член обязуется обеспечить исполнение такого решения в соответствии со своим законодательством.</w:t>
      </w:r>
    </w:p>
    <w:p w:rsidR="00361F55" w:rsidRDefault="00361F55">
      <w:pPr>
        <w:spacing w:after="1" w:line="300" w:lineRule="atLeast"/>
        <w:jc w:val="both"/>
      </w:pPr>
    </w:p>
    <w:p w:rsidR="00361F55" w:rsidRDefault="00361F55">
      <w:pPr>
        <w:spacing w:after="1" w:line="300" w:lineRule="atLeast"/>
      </w:pPr>
      <w:r>
        <w:br/>
      </w:r>
    </w:p>
    <w:p w:rsidR="00361F55" w:rsidRDefault="00361F55">
      <w:pPr>
        <w:pStyle w:val="ConsPlusNormal"/>
      </w:pPr>
      <w:r>
        <w:br/>
      </w:r>
    </w:p>
    <w:p w:rsidR="006130E7" w:rsidRDefault="006130E7"/>
    <w:sectPr w:rsidR="006130E7" w:rsidSect="005B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55"/>
    <w:rsid w:val="00361F55"/>
    <w:rsid w:val="006130E7"/>
    <w:rsid w:val="007366E6"/>
    <w:rsid w:val="00990A72"/>
    <w:rsid w:val="00C45C0A"/>
    <w:rsid w:val="00D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61F5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5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61F5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D8C371C14E41AD6A02D3E9A672E2A4C51395BEB605A477CE162C88519438212871351D9DACC8B1EB82469CC6167452F33A0FFE995D1D6B2AAACBAA3Bu0k1O" TargetMode="External"/><Relationship Id="rId13" Type="http://schemas.openxmlformats.org/officeDocument/2006/relationships/hyperlink" Target="consultantplus://offline/ref=09D8C371C14E41AD6A02D3E9A672E2A4C51395BEB605A477CE162C88519438212871351D9DACC8B1EB82459BC0167452F33A0FFE995D1D6B2AAACBAA3Bu0k1O" TargetMode="External"/><Relationship Id="rId18" Type="http://schemas.openxmlformats.org/officeDocument/2006/relationships/hyperlink" Target="consultantplus://offline/ref=09D8C371C14E41AD6A02D3E9A672E2A4C51395BEB605A477CE162C88519438212871351D9DACC8B1EB82459BCF1A7452F33A0FFE995D1D6B2AAACBAA3Bu0k1O" TargetMode="External"/><Relationship Id="rId26" Type="http://schemas.openxmlformats.org/officeDocument/2006/relationships/hyperlink" Target="consultantplus://offline/ref=09D8C371C14E41AD6A02D3E9A672E2A4C51395BEB605A477CE162C88519438212871351D9DACC8B1EB82459BCF107452F33A0FFE995D1D6B2AAACBAA3Bu0k1O" TargetMode="External"/><Relationship Id="rId39" Type="http://schemas.openxmlformats.org/officeDocument/2006/relationships/hyperlink" Target="consultantplus://offline/ref=DB56B35267CEE0DB8028700F54B5B1751354DB9899948A4F7C83F3C66854B457B06A4A28EE71F73FA5256A683CDD21D33Bj8l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D8C371C14E41AD6A02D3E9A672E2A4C51395BEB605A477CE162C88519438212871351D9DACC8B1EB82459BC0167452F33A0FFE995D1D6B2AAACBAA3Bu0k1O" TargetMode="External"/><Relationship Id="rId34" Type="http://schemas.openxmlformats.org/officeDocument/2006/relationships/hyperlink" Target="consultantplus://offline/ref=DB56B35267CEE0DB8028700F54B5B1751354DB9899978A497A89F99B625CED5BB26D4577EB76E63FA62D776A36C3288768C0573CC02DA4476ADFEE2046jEl8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9D8C371C14E41AD6A02D3E9A672E2A4C51395BEB605A470CA192488519438212871351D9DACC8B1EB824699CE127452F33A0FFE995D1D6B2AAACBAA3Bu0k1O" TargetMode="External"/><Relationship Id="rId12" Type="http://schemas.openxmlformats.org/officeDocument/2006/relationships/hyperlink" Target="consultantplus://offline/ref=09D8C371C14E41AD6A02D3E9A672E2A4C51395BEB605A477CE162C88519438212871351D9DACC8B1EB82459BC31B7452F33A0FFE995D1D6B2AAACBAA3Bu0k1O" TargetMode="External"/><Relationship Id="rId17" Type="http://schemas.openxmlformats.org/officeDocument/2006/relationships/hyperlink" Target="consultantplus://offline/ref=09D8C371C14E41AD6A02D3E9A672E2A4C51395BEB605A477CE162C88519438212871351D9DACC8B1EB82459BCF117452F33A0FFE995D1D6B2AAACBAA3Bu0k1O" TargetMode="External"/><Relationship Id="rId25" Type="http://schemas.openxmlformats.org/officeDocument/2006/relationships/hyperlink" Target="consultantplus://offline/ref=09D8C371C14E41AD6A02D3E9A672E2A4C51395BEB605A477CE162C88519438212871351D9DACC8B1EB82459BCE177452F33A0FFE995D1D6B2AAACBAA3Bu0k1O" TargetMode="External"/><Relationship Id="rId33" Type="http://schemas.openxmlformats.org/officeDocument/2006/relationships/hyperlink" Target="consultantplus://offline/ref=DB56B35267CEE0DB8028700F54B5B1751354DB9899978A497A89F99B625CED5BB26D4577EB76E63FA62D776A39C5288768C0573CC02DA4476ADFEE2046jEl8O" TargetMode="External"/><Relationship Id="rId38" Type="http://schemas.openxmlformats.org/officeDocument/2006/relationships/hyperlink" Target="consultantplus://offline/ref=DB56B35267CEE0DB8028700F54B5B1751354DB9899978A497A89F99B625CED5BB26D4577EB76E63FA62D776A3DCA288768C0573CC02DA4476ADFEE2046jEl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D8C371C14E41AD6A02D3E9A672E2A4C51395BEB605A477CE162C88519438212871351D9DACC8B1EB82459BCE127452F33A0FFE995D1D6B2AAACBAA3Bu0k1O" TargetMode="External"/><Relationship Id="rId20" Type="http://schemas.openxmlformats.org/officeDocument/2006/relationships/hyperlink" Target="consultantplus://offline/ref=09D8C371C14E41AD6A02D3E9A672E2A4C51395BEB605A477CE162C88519438212871351D9DACC8B1EB82459BC31B7452F33A0FFE995D1D6B2AAACBAA3Bu0k1O" TargetMode="External"/><Relationship Id="rId29" Type="http://schemas.openxmlformats.org/officeDocument/2006/relationships/hyperlink" Target="consultantplus://offline/ref=DB56B35267CEE0DB8028700F54B5B1751354DB9899978A497A89F99B625CED5BB26D4577EB76E63FA62D776B3CC2288768C0573CC02DA4476ADFEE2046jEl8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D8C371C14E41AD6A02D3E9A672E2A4C51395BEB605A970CA172F88519438212871351D9DACC8B1EB824699C4117452F33A0FFE995D1D6B2AAACBAA3Bu0k1O" TargetMode="External"/><Relationship Id="rId11" Type="http://schemas.openxmlformats.org/officeDocument/2006/relationships/hyperlink" Target="consultantplus://offline/ref=09D8C371C14E41AD6A02D3E9A672E2A4C51395BEB605A477CE162C88519438212871351D9DACC8B1EB82459DC5167452F33A0FFE995D1D6B2AAACBAA3Bu0k1O" TargetMode="External"/><Relationship Id="rId24" Type="http://schemas.openxmlformats.org/officeDocument/2006/relationships/hyperlink" Target="consultantplus://offline/ref=09D8C371C14E41AD6A02D3E9A672E2A4C51395BEB605A477CE162C88519438212871351D9DACC8B1EB82459BCE137452F33A0FFE995D1D6B2AAACBAA3Bu0k1O" TargetMode="External"/><Relationship Id="rId32" Type="http://schemas.openxmlformats.org/officeDocument/2006/relationships/hyperlink" Target="consultantplus://offline/ref=DB56B35267CEE0DB8028700F54B5B1751354DB9899978A497A89F99B625CED5BB26D4577EB76E63FA62D776A39C1288768C0573CC02DA4476ADFEE2046jEl8O" TargetMode="External"/><Relationship Id="rId37" Type="http://schemas.openxmlformats.org/officeDocument/2006/relationships/hyperlink" Target="consultantplus://offline/ref=DB56B35267CEE0DB8028700F54B5B1751354DB9899978A497A89F99B625CED5BB26D4577EB76E63FA62D776A37C0288768C0573CC02DA4476ADFEE2046jEl8O" TargetMode="External"/><Relationship Id="rId40" Type="http://schemas.openxmlformats.org/officeDocument/2006/relationships/hyperlink" Target="consultantplus://offline/ref=DB56B35267CEE0DB8028700F54B5B1751354DB989997814A7081F19B625CED5BB26D4577EB64E667AA2F7C763EC13DD13986j0l0O" TargetMode="External"/><Relationship Id="rId5" Type="http://schemas.openxmlformats.org/officeDocument/2006/relationships/hyperlink" Target="consultantplus://offline/ref=09D8C371C14E41AD6A02D3E9A672E2A4C51395BEB605AE7BCB1A2D88519438212871351D9DACC8B1EB824699C1167452F33A0FFE995D1D6B2AAACBAA3Bu0k1O" TargetMode="External"/><Relationship Id="rId15" Type="http://schemas.openxmlformats.org/officeDocument/2006/relationships/hyperlink" Target="consultantplus://offline/ref=09D8C371C14E41AD6A02D3E9A672E2A4C51395BEB605A477CE162C88519438212871351D9DACC8B1EB82459BC11B7452F33A0FFE995D1D6B2AAACBAA3Bu0k1O" TargetMode="External"/><Relationship Id="rId23" Type="http://schemas.openxmlformats.org/officeDocument/2006/relationships/hyperlink" Target="consultantplus://offline/ref=09D8C371C14E41AD6A02D3E9A672E2A4C51395BEB605A477CE162C88519438212871351D9DACC8B1EB82459BC1157452F33A0FFE995D1D6B2AAACBAA3Bu0k1O" TargetMode="External"/><Relationship Id="rId28" Type="http://schemas.openxmlformats.org/officeDocument/2006/relationships/hyperlink" Target="consultantplus://offline/ref=DB56B35267CEE0DB8028700F54B5B1751354DB9899978A497A89F99B625CED5BB26D4577EB76E63FA62D776A3CC4288768C0573CC02DA4476ADFEE2046jEl8O" TargetMode="External"/><Relationship Id="rId36" Type="http://schemas.openxmlformats.org/officeDocument/2006/relationships/hyperlink" Target="consultantplus://offline/ref=DB56B35267CEE0DB8028700F54B5B1751354DB9899978A497A89F99B625CED5BB26D4577EB76E63FA62D776A36C7288768C0573CC02DA4476ADFEE2046jEl8O" TargetMode="External"/><Relationship Id="rId10" Type="http://schemas.openxmlformats.org/officeDocument/2006/relationships/hyperlink" Target="consultantplus://offline/ref=09D8C371C14E41AD6A02D3E9A672E2A4C51395BEB605A477CE162C88519438212871351D9DACC8B1EB82459DC7137452F33A0FFE995D1D6B2AAACBAA3Bu0k1O" TargetMode="External"/><Relationship Id="rId19" Type="http://schemas.openxmlformats.org/officeDocument/2006/relationships/hyperlink" Target="consultantplus://offline/ref=09D8C371C14E41AD6A02D3E9A672E2A4C51395BEB605A477CE162C88519438212871351D9DACC8B1EB82459AC6117452F33A0FFE995D1D6B2AAACBAA3Bu0k1O" TargetMode="External"/><Relationship Id="rId31" Type="http://schemas.openxmlformats.org/officeDocument/2006/relationships/hyperlink" Target="consultantplus://offline/ref=DB56B35267CEE0DB8028700F54B5B1751354DB9899978A497A89F99B625CED5BB26D4577EB76E63FA62D776A3DCA288768C0573CC02DA4476ADFEE2046jEl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D8C371C14E41AD6A02D3E9A672E2A4C51395BEB605A477CE162C88519438212871351D9DACC8B1EB82469CC0157452F33A0FFE995D1D6B2AAACBAA3Bu0k1O" TargetMode="External"/><Relationship Id="rId14" Type="http://schemas.openxmlformats.org/officeDocument/2006/relationships/hyperlink" Target="consultantplus://offline/ref=09D8C371C14E41AD6A02D3E9A672E2A4C51395BEB605A477CE162C88519438212871351D9DACC8B1EB82459BC1167452F33A0FFE995D1D6B2AAACBAA3Bu0k1O" TargetMode="External"/><Relationship Id="rId22" Type="http://schemas.openxmlformats.org/officeDocument/2006/relationships/hyperlink" Target="consultantplus://offline/ref=09D8C371C14E41AD6A02D3E9A672E2A4C51395BEB605A477CE162C88519438212871351D9DACC8B1EB82459BC1117452F33A0FFE995D1D6B2AAACBAA3Bu0k1O" TargetMode="External"/><Relationship Id="rId27" Type="http://schemas.openxmlformats.org/officeDocument/2006/relationships/hyperlink" Target="consultantplus://offline/ref=09D8C371C14E41AD6A02D3E9A672E2A4C51395BEB605A477CE162C88519438212871351D9DACC8B1EB82459DC5167452F33A0FFE995D1D6B2AAACBAA3Bu0k1O" TargetMode="External"/><Relationship Id="rId30" Type="http://schemas.openxmlformats.org/officeDocument/2006/relationships/hyperlink" Target="consultantplus://offline/ref=DB56B35267CEE0DB8028700F54B5B1751354DB9899978A4E7E86F19B625CED5BB26D4577EB76E63FA62D746836C2288768C0573CC02DA4476ADFEE2046jEl8O" TargetMode="External"/><Relationship Id="rId35" Type="http://schemas.openxmlformats.org/officeDocument/2006/relationships/hyperlink" Target="consultantplus://offline/ref=DB56B35267CEE0DB8028700F54B5B1751354DB9899978A497A89F99B625CED5BB26D4577EB76E63FA62D776A36C1288768C0573CC02DA4476ADFEE2046jEl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Коверец А.И.</cp:lastModifiedBy>
  <cp:revision>1</cp:revision>
  <dcterms:created xsi:type="dcterms:W3CDTF">2022-02-28T14:36:00Z</dcterms:created>
  <dcterms:modified xsi:type="dcterms:W3CDTF">2022-02-28T14:39:00Z</dcterms:modified>
</cp:coreProperties>
</file>