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ИЗМЕНИЛОСЬ В УСЛОВИЯХ СОЗДАНИЯ И ДЕЯТЕЛЬНОСТИ ХОЛДИНГОВ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624"/>
      <w:bookmarkEnd w:id="0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7"/>
      <w:bookmarkEnd w:id="1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Комментарий к Указу от 07.10.2021 </w:t>
      </w:r>
      <w:r w:rsidR="00140AB6"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385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9"/>
      <w:bookmarkEnd w:id="2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10"/>
      <w:bookmarkEnd w:id="3"/>
      <w:r w:rsidRPr="00140AB6">
        <w:rPr>
          <w:rFonts w:ascii="Times New Roman" w:hAnsi="Times New Roman" w:cs="Times New Roman"/>
          <w:color w:val="000000"/>
          <w:sz w:val="24"/>
          <w:szCs w:val="24"/>
        </w:rPr>
        <w:t>Н.Л.ФОМЧЕНКО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11"/>
      <w:bookmarkStart w:id="5" w:name="549"/>
      <w:bookmarkEnd w:id="4"/>
      <w:bookmarkEnd w:id="5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550"/>
      <w:bookmarkStart w:id="7" w:name="15"/>
      <w:bookmarkEnd w:id="6"/>
      <w:bookmarkEnd w:id="7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8" w:name="16"/>
      <w:bookmarkEnd w:id="8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текущем году 10 апреля вступил в силу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 от 07.10.2021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385 "О создании и деятельности холдингов" (далее - Указ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385), задающий "правила игры" для национальных холдингов. Указ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385 пришел на смену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Указу от 28.12.2009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660 "О некоторых воп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росах создания и деятельности холдингов в Республике Беларусь". Разберемся в новшествах далее в материале.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17"/>
      <w:bookmarkEnd w:id="9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" w:name="18"/>
      <w:bookmarkEnd w:id="10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Понятие холдинга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left="1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610"/>
      <w:bookmarkEnd w:id="11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19"/>
      <w:bookmarkEnd w:id="1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Холдинг - это объединение юрлиц. Сам холдинг не является юрлицом. Все юрлица, входящие в состав холдинга,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являются участниками холдинга, которые выступают в качестве управляющей компании холдинга и его дочерних компаний.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20"/>
      <w:bookmarkEnd w:id="13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управляющей компании холдинга может выступать либо коммерческая организация, либо физлицо (п. 1, ч. 1 п. 2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21"/>
      <w:bookmarkEnd w:id="14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5" w:name="554"/>
      <w:bookmarkEnd w:id="15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6" w:name="22"/>
      <w:bookmarkEnd w:id="16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Юрлица, являющиеся коммерческими организациями, могут создаваться в форме полных и коммандитных товариществ (п. 2 ст. 63 ГК) и ОАО, ЗАО, ООО, ОДО (ч. 2 ст. 10 Закона о хозобществах), произв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одственных кооперативов (артелей), государственных или частных УП (ч. 3 п. 2 ст. 113 ГК), крестьянских (фермерских) хозяйств и иных формах, предусмотренных ГК (п. 2 ст. 46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7" w:name="26"/>
      <w:bookmarkEnd w:id="17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Гособъединения являются некоммерческими организациями, за исключением случа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ев принятия в соответствии с законодательством решений о признании их коммерческими организациями (п. 4 ст. 123-1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555"/>
      <w:bookmarkEnd w:id="18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27"/>
      <w:bookmarkEnd w:id="19"/>
      <w:r w:rsidRPr="00140AB6">
        <w:rPr>
          <w:rFonts w:ascii="Times New Roman" w:hAnsi="Times New Roman" w:cs="Times New Roman"/>
          <w:color w:val="000000"/>
          <w:sz w:val="24"/>
          <w:szCs w:val="24"/>
        </w:rPr>
        <w:t>Следовательно, в качестве управляющей компании холдинга могут выступать юрлица следующих организационно-правовых форм: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28"/>
      <w:bookmarkEnd w:id="2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ОАО;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29"/>
      <w:bookmarkEnd w:id="21"/>
      <w:r w:rsidRPr="00140AB6">
        <w:rPr>
          <w:rFonts w:ascii="Times New Roman" w:hAnsi="Times New Roman" w:cs="Times New Roman"/>
          <w:color w:val="000000"/>
          <w:sz w:val="24"/>
          <w:szCs w:val="24"/>
        </w:rPr>
        <w:t>- ЗАО;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30"/>
      <w:bookmarkEnd w:id="22"/>
      <w:r w:rsidRPr="00140AB6">
        <w:rPr>
          <w:rFonts w:ascii="Times New Roman" w:hAnsi="Times New Roman" w:cs="Times New Roman"/>
          <w:color w:val="000000"/>
          <w:sz w:val="24"/>
          <w:szCs w:val="24"/>
        </w:rPr>
        <w:t>- ООО;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31"/>
      <w:bookmarkEnd w:id="23"/>
      <w:r w:rsidRPr="00140AB6">
        <w:rPr>
          <w:rFonts w:ascii="Times New Roman" w:hAnsi="Times New Roman" w:cs="Times New Roman"/>
          <w:color w:val="000000"/>
          <w:sz w:val="24"/>
          <w:szCs w:val="24"/>
        </w:rPr>
        <w:t>- ОДО;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32"/>
      <w:bookmarkEnd w:id="24"/>
      <w:r w:rsidRPr="00140AB6">
        <w:rPr>
          <w:rFonts w:ascii="Times New Roman" w:hAnsi="Times New Roman" w:cs="Times New Roman"/>
          <w:color w:val="000000"/>
          <w:sz w:val="24"/>
          <w:szCs w:val="24"/>
        </w:rPr>
        <w:t>- РУП;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33"/>
      <w:bookmarkEnd w:id="25"/>
      <w:r w:rsidRPr="00140AB6">
        <w:rPr>
          <w:rFonts w:ascii="Times New Roman" w:hAnsi="Times New Roman" w:cs="Times New Roman"/>
          <w:color w:val="000000"/>
          <w:sz w:val="24"/>
          <w:szCs w:val="24"/>
        </w:rPr>
        <w:t>- КУП;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34"/>
      <w:bookmarkEnd w:id="26"/>
      <w:r w:rsidRPr="00140AB6">
        <w:rPr>
          <w:rFonts w:ascii="Times New Roman" w:hAnsi="Times New Roman" w:cs="Times New Roman"/>
          <w:color w:val="000000"/>
          <w:sz w:val="24"/>
          <w:szCs w:val="24"/>
        </w:rPr>
        <w:t>- ЧУП;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35"/>
      <w:bookmarkEnd w:id="2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гособъединение (в случае признания его коммерческой организацией и только до вступления в силу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36"/>
      <w:bookmarkEnd w:id="28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крестьянское (фермерское) хозяйство;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37"/>
      <w:bookmarkEnd w:id="2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полное товарищество;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38"/>
      <w:bookmarkEnd w:id="30"/>
      <w:r w:rsidRPr="00140AB6">
        <w:rPr>
          <w:rFonts w:ascii="Times New Roman" w:hAnsi="Times New Roman" w:cs="Times New Roman"/>
          <w:color w:val="000000"/>
          <w:sz w:val="24"/>
          <w:szCs w:val="24"/>
        </w:rPr>
        <w:t>- коммандитное товарищество;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39"/>
      <w:bookmarkEnd w:id="31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производственный кооператив (артель).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556"/>
      <w:bookmarkEnd w:id="32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3" w:name="40"/>
      <w:bookmarkEnd w:id="33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34" w:name="41"/>
      <w:bookmarkEnd w:id="34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Участие страховых организаций, банков и НКФО, которые также являются коммерческими организациями (п. 1 ст. 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828 ГК, ч. 1 ст. 70 БК), определяется банковским законодательством и законодательством о страховании (п. 12 Указа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557"/>
      <w:bookmarkEnd w:id="35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42"/>
      <w:bookmarkEnd w:id="36"/>
      <w:r w:rsidRPr="00140AB6">
        <w:rPr>
          <w:rFonts w:ascii="Times New Roman" w:hAnsi="Times New Roman" w:cs="Times New Roman"/>
          <w:color w:val="000000"/>
          <w:sz w:val="24"/>
          <w:szCs w:val="24"/>
        </w:rPr>
        <w:t>В качестве дочерних компаний холдинга могут выступать юрлица любой организационно-правовой формы, которая предусмотрена на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циональным законодательством. Юрлица, подъюрисдикционные иным государствам (нерезиденты Республики Беларусь), могут иметь статус как управляющей компании холдинга, так и его дочерней компании.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43"/>
      <w:bookmarkEnd w:id="37"/>
      <w:r w:rsidRPr="00140AB6">
        <w:rPr>
          <w:rFonts w:ascii="Times New Roman" w:hAnsi="Times New Roman" w:cs="Times New Roman"/>
          <w:color w:val="000000"/>
          <w:sz w:val="24"/>
          <w:szCs w:val="24"/>
        </w:rPr>
        <w:t>Взаимодействие между управляющей компанией холдинга и его 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очерними компаниями может строиться по четырем основаниям, обеспечивающим управляющей компании холдинга возможность оказывать влияние на решения, принимаемые дочерними компаниями холдинга (п. 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44"/>
      <w:bookmarkEnd w:id="38"/>
      <w:r w:rsidRPr="00140AB6">
        <w:rPr>
          <w:rFonts w:ascii="Times New Roman" w:hAnsi="Times New Roman" w:cs="Times New Roman"/>
          <w:color w:val="000000"/>
          <w:sz w:val="24"/>
          <w:szCs w:val="24"/>
        </w:rPr>
        <w:t>1. Владение 25% и более простых (обыкновенны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х) акций (долей в уставных фондах) дочерних компаний.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46"/>
      <w:bookmarkEnd w:id="39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собственности хозобщества находится в том числе имущество, переданное учредителями (участниками) хозобщества в его уставный фонд в виде вкладов (абз. 2 ч. 1 ст. 31 Закона о хозобществах).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47"/>
      <w:bookmarkEnd w:id="40"/>
      <w:r w:rsidRPr="00140AB6">
        <w:rPr>
          <w:rFonts w:ascii="Times New Roman" w:hAnsi="Times New Roman" w:cs="Times New Roman"/>
          <w:color w:val="000000"/>
          <w:sz w:val="24"/>
          <w:szCs w:val="24"/>
        </w:rPr>
        <w:t>Вкла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дом в уставный фонд хозобщества могут быть вещи, включая деньги и ценные бумаги, иное имущество, в том числе имущественные права, либо иные отчуждаемые права, имеющие оценку их стоимости.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48"/>
      <w:bookmarkEnd w:id="41"/>
      <w:r w:rsidRPr="00140AB6">
        <w:rPr>
          <w:rFonts w:ascii="Times New Roman" w:hAnsi="Times New Roman" w:cs="Times New Roman"/>
          <w:color w:val="000000"/>
          <w:sz w:val="24"/>
          <w:szCs w:val="24"/>
        </w:rPr>
        <w:t>Вносимое в уставный фонд хозобщества имущество должно принадлежа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ть учредителям (участникам) на праве собственности, праве хозяйственного ведения или оперативного управления (ч. 1, 2 ст. 29 Закона о хозобществах).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49"/>
      <w:bookmarkEnd w:id="42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этой связи в случае вхождения в холдинг хозобщества в качестве его дочерней компании на основании вне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сения в уставный фонд управляющей компании холдинга (хозобщества) минимум 25% акций (долей в уставном фонде) этой дочерней компании владельцем переданных акций (долей в уставном фонде) становится управляющая компания холдинга (хозобщество).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558"/>
      <w:bookmarkEnd w:id="43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4" w:name="50"/>
      <w:bookmarkEnd w:id="44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45" w:name="51"/>
      <w:bookmarkEnd w:id="45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момента внесения акций (долей в уставном фонде), принадлежащих государству (в лице Республики Беларусь и (или) административно-территориальной единицы), в качестве неденежного вклада в уставный фон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 управляющей компании холдинга (хозобщества) право собственности на такие акции (доли в уставном фонде) переходит к этой управляющей компании холдинга (хозобществу).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559"/>
      <w:bookmarkEnd w:id="46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52"/>
      <w:bookmarkEnd w:id="4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Отчуждение внесенных в уставный фонд управляющей компании холдинга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(хозобщест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ва) акций (долей в уставных фондах) дочерних компаний этого холдинга, ранее принадлежавших Республике Беларусь или ее административно-территориальным единицам, определяется соответственно Совмином по согласованию с Президентом Республики Беларусь или местн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ыми исполнительными и распорядительными органами, если иное не установлено Президентом Республики Беларусь (ч. 4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53"/>
      <w:bookmarkEnd w:id="48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случае если управляющей компанией холдинга выступает УП, то передаваемые акции дочерних компаний закрепляются на праве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хозяйственного ведения за такой управляющей компанией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61"/>
      <w:bookmarkEnd w:id="49"/>
      <w:r w:rsidRPr="00140AB6">
        <w:rPr>
          <w:rFonts w:ascii="Times New Roman" w:hAnsi="Times New Roman" w:cs="Times New Roman"/>
          <w:color w:val="000000"/>
          <w:sz w:val="24"/>
          <w:szCs w:val="24"/>
        </w:rPr>
        <w:t>Обращаем внимание на то, что управляющая компания холдинга (УП) принимает участие в управлении деятельностью хозобщества, акции (доли в уставном фонде) которого ей переданы и закреплены 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а праве хозяйственного ведения, соразмерно доле своего участия, включая получение дивидендов на эту долю в случае принятия соответствующего решения (ч. 3, 8 ст. 13 Закона о хозобществах).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561"/>
      <w:bookmarkEnd w:id="50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62"/>
      <w:bookmarkEnd w:id="51"/>
      <w:r w:rsidRPr="00140AB6">
        <w:rPr>
          <w:rFonts w:ascii="Times New Roman" w:hAnsi="Times New Roman" w:cs="Times New Roman"/>
          <w:color w:val="000000"/>
          <w:sz w:val="24"/>
          <w:szCs w:val="24"/>
        </w:rPr>
        <w:t>2. Управление деятельностью дочерних компаний - УП и учр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еждений, которые созданы управляющей компанией холдинга либо по отношению к которым такая управляющая компания приобрела статус учредителя (собственника имущества) по иным основаниям, предусмотренным законодательными актами.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562"/>
      <w:bookmarkEnd w:id="52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53" w:name="563"/>
      <w:bookmarkEnd w:id="53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54" w:name="64"/>
      <w:bookmarkEnd w:id="54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Хозобщество может быть учредителем УП, которое действует на основании устава, утвержденного этим хозобществом.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55" w:name="65"/>
      <w:bookmarkEnd w:id="55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Имущество УП, учрежденного хозобществом, находится в собственности хозобщества - учредителя этого 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 и принадлежит УП на праве хозяйственного ведения (ч. 1, 2 ст. 9 Закона о хозобществах).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56" w:name="66"/>
      <w:bookmarkEnd w:id="56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юрлицам, на имущество которых их учредители имеют право собственности или иное вещное право, относятся УП, в том числе дочерние, а также гособъединения и финан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сируемые собственником учреждения (ч. 3 п. 2 ст. 44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597"/>
      <w:bookmarkEnd w:id="57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68"/>
      <w:bookmarkEnd w:id="58"/>
      <w:r w:rsidRPr="00140AB6">
        <w:rPr>
          <w:rFonts w:ascii="Times New Roman" w:hAnsi="Times New Roman" w:cs="Times New Roman"/>
          <w:color w:val="000000"/>
          <w:sz w:val="24"/>
          <w:szCs w:val="24"/>
        </w:rPr>
        <w:t>При наличии уже созданных у управляющей компании УП и учреждений данная форма взаимодействия между ними не предусматривает принятие дополнительного решения. Такие юрлица становятся дочерн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ими компаниями холдинга на основании решения об их включении в холдинг в качестве участников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69"/>
      <w:bookmarkEnd w:id="59"/>
      <w:r w:rsidRPr="00140AB6">
        <w:rPr>
          <w:rFonts w:ascii="Times New Roman" w:hAnsi="Times New Roman" w:cs="Times New Roman"/>
          <w:color w:val="000000"/>
          <w:sz w:val="24"/>
          <w:szCs w:val="24"/>
        </w:rPr>
        <w:t>3. Заключение договора доверительного управления 25% и более простых (обыкновенных) акций (долей в уставных фондах) дочерних компаний.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71"/>
      <w:bookmarkEnd w:id="60"/>
      <w:r w:rsidRPr="00140AB6">
        <w:rPr>
          <w:rFonts w:ascii="Times New Roman" w:hAnsi="Times New Roman" w:cs="Times New Roman"/>
          <w:color w:val="000000"/>
          <w:sz w:val="24"/>
          <w:szCs w:val="24"/>
        </w:rPr>
        <w:t>Собственни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к может передать свое имущество в доверительное управление другому лицу (доверительному управляющему). Передача имущества в доверительное управление не влечет перехода права собственности к доверительному управляющему, который обязан осуществлять управлени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 имуществом в интересах собственника или указанного им третьего лица (п. 4 ст. 210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72"/>
      <w:bookmarkEnd w:id="61"/>
      <w:r w:rsidRPr="00140AB6">
        <w:rPr>
          <w:rFonts w:ascii="Times New Roman" w:hAnsi="Times New Roman" w:cs="Times New Roman"/>
          <w:color w:val="000000"/>
          <w:sz w:val="24"/>
          <w:szCs w:val="24"/>
        </w:rPr>
        <w:t>По договору доверительного управления имуществом одна сторона (вверитель) передает другой стороне (доверительному управляющему) на определенный срок имущество в до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верительное управление, а доверительный управляющий обязуется за вознаграждение осуществлять управление этим имуществом в интересах вверителя или указанного им лица (выгодоприобретателя).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" w:name="73"/>
      <w:bookmarkEnd w:id="62"/>
      <w:r w:rsidRPr="00140AB6">
        <w:rPr>
          <w:rFonts w:ascii="Times New Roman" w:hAnsi="Times New Roman" w:cs="Times New Roman"/>
          <w:color w:val="000000"/>
          <w:sz w:val="24"/>
          <w:szCs w:val="24"/>
        </w:rPr>
        <w:t>Передача имущества в доверительное управление не влечет перехода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права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собственности на него к доверительному управляющему (ч. 1, 3 п. 1 ст. 895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74"/>
      <w:bookmarkEnd w:id="63"/>
      <w:r w:rsidRPr="00140AB6">
        <w:rPr>
          <w:rFonts w:ascii="Times New Roman" w:hAnsi="Times New Roman" w:cs="Times New Roman"/>
          <w:color w:val="000000"/>
          <w:sz w:val="24"/>
          <w:szCs w:val="24"/>
        </w:rPr>
        <w:t>Следовательно, при передаче 25% и более акций (долей в уставном фонде) дочерних компаний в доверительное управление управляющей компании холдинга дивиденды на такие 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кции (в случае принятия соответствующего решения) перечисляются собственнику. Управляющей компании холдинга предполагается выплата вознаграждения как доверительному управляющему.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75"/>
      <w:bookmarkEnd w:id="6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Указе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сохранились прежние подходы: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" w:name="76"/>
      <w:bookmarkEnd w:id="65"/>
      <w:r w:rsidRPr="00140AB6">
        <w:rPr>
          <w:rFonts w:ascii="Times New Roman" w:hAnsi="Times New Roman" w:cs="Times New Roman"/>
          <w:color w:val="000000"/>
          <w:sz w:val="24"/>
          <w:szCs w:val="24"/>
        </w:rPr>
        <w:t>- доверительное управление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акциями дочерних компаний осуществляется управляющими компаниями без получения специального разрешения (лицензии) на осуществление профессиональной и биржевой деятельности по ценным бумагам;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77"/>
      <w:bookmarkEnd w:id="6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договор доверительного управления должен содержать запрет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управляющими компаниями действий по отчуждению и залогу указанных акций (ч. 3 п. 2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78"/>
      <w:bookmarkEnd w:id="67"/>
      <w:r w:rsidRPr="00140AB6">
        <w:rPr>
          <w:rFonts w:ascii="Times New Roman" w:hAnsi="Times New Roman" w:cs="Times New Roman"/>
          <w:color w:val="000000"/>
          <w:sz w:val="24"/>
          <w:szCs w:val="24"/>
        </w:rPr>
        <w:t>4. Заключение иного договора, в соответствии с которым управляющей компанией приобретаются права по управлению деятельностью дочерних комп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аний.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79"/>
      <w:bookmarkEnd w:id="68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Данная форма взаимодействия участников в холдинге обеспечивает собственнику сохранение права собственности на акции (доли в уставном фонде), со всеми вытекающими из права собственности на такие акции (доли) юридически значимыми действиями (в том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числе получение дивидендов, назначение представителей государства и т.д.).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81"/>
      <w:bookmarkEnd w:id="69"/>
      <w:r w:rsidRPr="00140AB6">
        <w:rPr>
          <w:rFonts w:ascii="Times New Roman" w:hAnsi="Times New Roman" w:cs="Times New Roman"/>
          <w:color w:val="000000"/>
          <w:sz w:val="24"/>
          <w:szCs w:val="24"/>
        </w:rPr>
        <w:t>Иной договор в пределах одного холдинга может быть заключен между управляющей компанией холдинга и его дочерней компанией независимо от их организационно-правовых форм собственн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ости.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82"/>
      <w:bookmarkEnd w:id="70"/>
      <w:r w:rsidRPr="00140AB6">
        <w:rPr>
          <w:rFonts w:ascii="Times New Roman" w:hAnsi="Times New Roman" w:cs="Times New Roman"/>
          <w:color w:val="000000"/>
          <w:sz w:val="24"/>
          <w:szCs w:val="24"/>
        </w:rPr>
        <w:t>Такая форма взаимодействия между управляющей компанией холдинга и дочерними компаниями основывается на заключении гражданско-правового договора. Специальных требований к данному договору в законодательстве не установлено, он разрабатывается индив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идуально в зависимости от конкретных обстоятельств.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83"/>
      <w:bookmarkEnd w:id="71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К иному договору, соответствующему требованиям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полагаем, можно отнести: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" w:name="84"/>
      <w:bookmarkEnd w:id="72"/>
      <w:r w:rsidRPr="00140AB6">
        <w:rPr>
          <w:rFonts w:ascii="Times New Roman" w:hAnsi="Times New Roman" w:cs="Times New Roman"/>
          <w:color w:val="000000"/>
          <w:sz w:val="24"/>
          <w:szCs w:val="24"/>
        </w:rPr>
        <w:t>- договор подчинения (управления), в силу которого одно юрлицо получает возможность контролировать другое посре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дством возможности давать обязательные указания исполнительному органу;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85"/>
      <w:bookmarkEnd w:id="73"/>
      <w:r w:rsidRPr="00140AB6">
        <w:rPr>
          <w:rFonts w:ascii="Times New Roman" w:hAnsi="Times New Roman" w:cs="Times New Roman"/>
          <w:color w:val="000000"/>
          <w:sz w:val="24"/>
          <w:szCs w:val="24"/>
        </w:rPr>
        <w:t>- договор на передачу управляющей компании холдинга полномочий исполнительного органа дочерней компании (с исключением соответствующих единиц в штатном расписании дочерней компании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88"/>
      <w:bookmarkEnd w:id="74"/>
      <w:r w:rsidRPr="00140AB6">
        <w:rPr>
          <w:rFonts w:ascii="Times New Roman" w:hAnsi="Times New Roman" w:cs="Times New Roman"/>
          <w:color w:val="000000"/>
          <w:sz w:val="24"/>
          <w:szCs w:val="24"/>
        </w:rPr>
        <w:t>- любой иной гражданско-правовой договор, исполнение которого приводит к возникновению экономической зависимости.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89"/>
      <w:bookmarkEnd w:id="75"/>
      <w:r w:rsidRPr="00140AB6">
        <w:rPr>
          <w:rFonts w:ascii="Times New Roman" w:hAnsi="Times New Roman" w:cs="Times New Roman"/>
          <w:color w:val="000000"/>
          <w:sz w:val="24"/>
          <w:szCs w:val="24"/>
        </w:rPr>
        <w:t>Следовательно, отличительными признаками таких договоров являются: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90"/>
      <w:bookmarkEnd w:id="76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наличие в них самостоятельных положений, определяющих соот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ветствующие правомочия управляющей компании холдинга по отношению к дочерней компании, осуществляемые ею на долговременной основе;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91"/>
      <w:bookmarkEnd w:id="7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у управляющей компании холдинга возможности влиять на принятие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решений органами управления дочерней компании хо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лдинга, а не на отдельные действия в рамках исполнения обязательств по гражданско-правовому договору между этими лицами;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92"/>
      <w:bookmarkEnd w:id="78"/>
      <w:r w:rsidRPr="00140AB6">
        <w:rPr>
          <w:rFonts w:ascii="Times New Roman" w:hAnsi="Times New Roman" w:cs="Times New Roman"/>
          <w:color w:val="000000"/>
          <w:sz w:val="24"/>
          <w:szCs w:val="24"/>
        </w:rPr>
        <w:t>- утверждение или одобрение собственником имущества, общими собраниями участников дочерних компаний.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" w:name="94"/>
      <w:bookmarkEnd w:id="79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Нормы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не вводя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 ограничения на сочетание форм взаимодействия между управляющей компанией холдинга и его дочерними компаниями. Допускается сочетание и применение нескольких форм взаимодействия в отношении одной дочерней компании в пределах одного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" w:name="95"/>
      <w:bookmarkEnd w:id="80"/>
      <w:r w:rsidRPr="00140AB6">
        <w:rPr>
          <w:rFonts w:ascii="Times New Roman" w:hAnsi="Times New Roman" w:cs="Times New Roman"/>
          <w:color w:val="000000"/>
          <w:sz w:val="24"/>
          <w:szCs w:val="24"/>
        </w:rPr>
        <w:t>Соответств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ующее основание взаимодействия (договор) между управляющей компанией холдинга и его дочерними компаниями должно быть заключено (подписан) до предоставления в Минэкономики на регистрацию соответствующего пакета документов и (или) сведений.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96"/>
      <w:bookmarkEnd w:id="81"/>
      <w:r w:rsidRPr="00140AB6">
        <w:rPr>
          <w:rFonts w:ascii="Times New Roman" w:hAnsi="Times New Roman" w:cs="Times New Roman"/>
          <w:color w:val="000000"/>
          <w:sz w:val="24"/>
          <w:szCs w:val="24"/>
        </w:rPr>
        <w:t>Со вступление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м в силу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гособъединение не может выступать в статусе управляющей компании холдинга. На те гособъединения, которые приобрели такой статус до вступления в силу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данное требование не распространяется (ч. 2 подп. 1.1 п. 1, п. 11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97"/>
      <w:bookmarkEnd w:id="82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случае если дочерними компаниями управляет (участвует в управлении) физлицо, то управляющая компания не образуется. Такое физлицо является собственником имущества УП, долей в уставных фондах крестьянских (фермерских) хозяйств, 25% и более прос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тых (обыкновенных) акций (долей в уставных фондах) хозобществ (подп. 1.2 п. 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" w:name="98"/>
      <w:bookmarkEnd w:id="83"/>
      <w:r w:rsidRPr="00140AB6">
        <w:rPr>
          <w:rFonts w:ascii="Times New Roman" w:hAnsi="Times New Roman" w:cs="Times New Roman"/>
          <w:color w:val="000000"/>
          <w:sz w:val="24"/>
          <w:szCs w:val="24"/>
        </w:rPr>
        <w:t>Как и ранее, дочерняя компания не может владеть акциями (долями в уставном фонде) управляющей компании холдинга, выступать залогодержателем ее акций (долей в ус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тавном фонде), а также осуществлять доверительное управление ими (абз. 3 ч. 2 п. 2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101"/>
      <w:bookmarkEnd w:id="84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целях недопущения спорных ситуаций и снижения рисков возникновения конфликта интересов между участниками введен запрет на участие одной и той же дочерн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ей компании одновременно в нескольких холдингах (абз. 2 ч. 2 п. 2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 Данное обстоятельство связано со следующим. Для реализации первой и третьей форм взаимодействия между управляющей компанией холдинга и его дочерними компаниями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зак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реплена минимально необходимая нижняя граница в 25% акций (долей в уставных фондах). Такой объем полномочий в соответствии с Законом о хозобществах является блокирующим при принятии ключевых решений общего собрания акционеров по основополагающим вопросам 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еятельности общества. В частности: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102"/>
      <w:bookmarkEnd w:id="85"/>
      <w:r w:rsidRPr="00140AB6">
        <w:rPr>
          <w:rFonts w:ascii="Times New Roman" w:hAnsi="Times New Roman" w:cs="Times New Roman"/>
          <w:color w:val="000000"/>
          <w:sz w:val="24"/>
          <w:szCs w:val="24"/>
        </w:rPr>
        <w:t>- внесение изменений и (или) дополнений в устав;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103"/>
      <w:bookmarkEnd w:id="86"/>
      <w:r w:rsidRPr="00140AB6">
        <w:rPr>
          <w:rFonts w:ascii="Times New Roman" w:hAnsi="Times New Roman" w:cs="Times New Roman"/>
          <w:color w:val="000000"/>
          <w:sz w:val="24"/>
          <w:szCs w:val="24"/>
        </w:rPr>
        <w:t>- увеличение или уменьшение уставного фонда;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" w:name="104"/>
      <w:bookmarkEnd w:id="87"/>
      <w:r w:rsidRPr="00140AB6">
        <w:rPr>
          <w:rFonts w:ascii="Times New Roman" w:hAnsi="Times New Roman" w:cs="Times New Roman"/>
          <w:color w:val="000000"/>
          <w:sz w:val="24"/>
          <w:szCs w:val="24"/>
        </w:rPr>
        <w:t>- реорганизация и ликвидация АО;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" w:name="105"/>
      <w:bookmarkEnd w:id="88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приобретение АО размещенных им акций по решению самого общества;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106"/>
      <w:bookmarkEnd w:id="8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иные вопросы, находящиеся в компетенции общего собрания акционеров, для принятия решений по которым требуется квалифицированное большинство.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107"/>
      <w:bookmarkEnd w:id="90"/>
      <w:r w:rsidRPr="00140AB6">
        <w:rPr>
          <w:rFonts w:ascii="Times New Roman" w:hAnsi="Times New Roman" w:cs="Times New Roman"/>
          <w:color w:val="000000"/>
          <w:sz w:val="24"/>
          <w:szCs w:val="24"/>
        </w:rPr>
        <w:t>Вместе с тем оставшиеся участники - владельцы пакетов в совокупности 75% акций (долей в уставных фондах)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- могут не поддержать такое решение, как участие в объединении юрлиц, не являющемся юрлицом.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108"/>
      <w:bookmarkEnd w:id="91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Кроме того, теоретически одно юрлицо могло стать участником четырех разных холдингов. Другими словами, у одной дочерней компании могло бы быть четыре управл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яющие компании холдингов, стратегическое виденье развития которых могло не соответствовать или даже противоречить друг другу.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110"/>
      <w:bookmarkEnd w:id="9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На те дочерние компании, которые стали участниками нескольких холдингов до вступления в силу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данное требование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не распространяется (п. 11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" w:name="111"/>
      <w:bookmarkEnd w:id="93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Включить дочернюю компанию в состав участников холдинга можно только при наличии у нее соответствующего решения об участии в холдинге (ч. 2 п. 3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385), другими словами, с ее согласия.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112"/>
      <w:bookmarkEnd w:id="94"/>
      <w:r w:rsidRPr="00140AB6">
        <w:rPr>
          <w:rFonts w:ascii="Times New Roman" w:hAnsi="Times New Roman" w:cs="Times New Roman"/>
          <w:color w:val="000000"/>
          <w:sz w:val="24"/>
          <w:szCs w:val="24"/>
        </w:rPr>
        <w:t>Принятие ре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шения о создании объединений юрлиц, не являющихся юрлицами, и об участии в этих объединениях отнесено к компетенции общего собрания участников хозобщества (абз. 4 ч. 1 ст. 35 Закона о хозобществах). Такая компетенция может быть передана уставом совету дире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кторов (наблюдательному совету) этого хозобщества (ч. 2 ст. 35 Закона о хозобществах).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" w:name="116"/>
      <w:bookmarkEnd w:id="95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 прямое указание в законодательстве на орган управления хозобщества, к чьей компетенции относится принятие решения об участии в объединении юрлиц, не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являющемся юрлицом, не всегда обеспечивает принятие соответствующего решения.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118"/>
      <w:bookmarkEnd w:id="96"/>
      <w:r w:rsidRPr="00140AB6">
        <w:rPr>
          <w:rFonts w:ascii="Times New Roman" w:hAnsi="Times New Roman" w:cs="Times New Roman"/>
          <w:color w:val="000000"/>
          <w:sz w:val="24"/>
          <w:szCs w:val="24"/>
        </w:rPr>
        <w:t>Требование о наличии у дочерней компании принятого в установленном законодательством порядке решения об участии в холдинге усиливается необходимостью предоставления в Минэк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ономики копии такого решения при регистрации холдинга или внесении изменения в перечень его участников (п. 12.7 единого перечня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548).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552"/>
      <w:bookmarkEnd w:id="97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98" w:name="119"/>
      <w:bookmarkEnd w:id="98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Создание и регистрация холдинга, внесение изменений в перечень участников холдинга, исключение холдинга</w:t>
      </w:r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 Государственного реестра холдингов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99" w:name="611"/>
      <w:bookmarkEnd w:id="99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" w:name="120"/>
      <w:bookmarkEnd w:id="100"/>
      <w:r w:rsidRPr="00140AB6">
        <w:rPr>
          <w:rFonts w:ascii="Times New Roman" w:hAnsi="Times New Roman" w:cs="Times New Roman"/>
          <w:color w:val="000000"/>
          <w:sz w:val="24"/>
          <w:szCs w:val="24"/>
        </w:rPr>
        <w:t>Холдинг создается по решению управляющей компании или физлица (в случае создания холдинга без образования управляющей компании холдинга). Если в качестве управляющей компании холдинга выступает РУП или 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УП, холдинг создается по решению органа госуправления (министерства, концерна, исполкома и т.д.) (ч. 1 п. 3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" w:name="121"/>
      <w:bookmarkEnd w:id="101"/>
      <w:r w:rsidRPr="00140AB6">
        <w:rPr>
          <w:rFonts w:ascii="Times New Roman" w:hAnsi="Times New Roman" w:cs="Times New Roman"/>
          <w:color w:val="000000"/>
          <w:sz w:val="24"/>
          <w:szCs w:val="24"/>
        </w:rPr>
        <w:t>Для "легализации" деятельности холдинга необходимо пройти процедуру его регистрации, так как холдинг считается созданным не с да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ты принятия решения о его создании, а с даты его регистрации (ч. 3 п. 3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" w:name="122"/>
      <w:bookmarkEnd w:id="102"/>
      <w:r w:rsidRPr="00140AB6">
        <w:rPr>
          <w:rFonts w:ascii="Times New Roman" w:hAnsi="Times New Roman" w:cs="Times New Roman"/>
          <w:color w:val="000000"/>
          <w:sz w:val="24"/>
          <w:szCs w:val="24"/>
        </w:rPr>
        <w:t>Регистрацию холдингов, а также ведение Государственного реестра холдингов осуществляет Минэкономики в порядке, установленном законодательством об административных п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роцедурах.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3" w:name="124"/>
      <w:bookmarkEnd w:id="103"/>
      <w:r w:rsidRPr="00140AB6">
        <w:rPr>
          <w:rFonts w:ascii="Times New Roman" w:hAnsi="Times New Roman" w:cs="Times New Roman"/>
          <w:color w:val="000000"/>
          <w:sz w:val="24"/>
          <w:szCs w:val="24"/>
        </w:rPr>
        <w:t>Законодательство об административных процедурах в отношении холдингов включает ряд НПА: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4" w:name="125"/>
      <w:bookmarkEnd w:id="10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Закон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433-З - общие требования к осуществлению административных процедур;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5" w:name="126"/>
      <w:bookmarkEnd w:id="105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Закон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94-З (подп. 1.3 п. 1 ст. 32, ст. 33);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127"/>
      <w:bookmarkEnd w:id="10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Указ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240 - общие требования к регламентам административных процедур;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7" w:name="129"/>
      <w:bookmarkEnd w:id="10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548 (подп. 2.8.3 п. 2.8, п. 12.7 единого перечня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548);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8" w:name="130"/>
      <w:bookmarkEnd w:id="108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11 - регламент административной процедуры по подп. 2.8.3 п. 2.8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единого перечня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548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9" w:name="131"/>
      <w:bookmarkEnd w:id="109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5 - регламенты административных процедур по подп. 12.7.1 - 12.7.3 п. 12.7 единого перечня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548;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0" w:name="132"/>
      <w:bookmarkEnd w:id="11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1" w:name="566"/>
      <w:bookmarkEnd w:id="111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12" w:name="567"/>
      <w:bookmarkEnd w:id="112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13" w:name="134"/>
      <w:bookmarkEnd w:id="113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Создание холдингов, ассоциаций,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союзов, гособъединений, включение хозяйствующего субъекта - юрлица в состав участников холдинга признается экономической концентрацией (подп. 1.3 п. 1 ст. 32 Закона о противодействии монополистической деятельности).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4" w:name="568"/>
      <w:bookmarkEnd w:id="114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5" w:name="143"/>
      <w:bookmarkEnd w:id="115"/>
      <w:r w:rsidRPr="00140AB6">
        <w:rPr>
          <w:rFonts w:ascii="Times New Roman" w:hAnsi="Times New Roman" w:cs="Times New Roman"/>
          <w:color w:val="000000"/>
          <w:sz w:val="24"/>
          <w:szCs w:val="24"/>
        </w:rPr>
        <w:t>Таким образом, до обращен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ия в Минэкономики для регистрации холдинга (включения юрлица в состав участников холдинга) необходимо в обязательном порядке обратиться в МАРТ за получением разрешения на создание холдинга (включение юрлица в состав участников холдинга) (абз. 3 ч. 1 п. 1 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т. 33 Закона о противодействии монополистической деятельности).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6" w:name="145"/>
      <w:bookmarkEnd w:id="116"/>
      <w:r w:rsidRPr="00140AB6">
        <w:rPr>
          <w:rFonts w:ascii="Times New Roman" w:hAnsi="Times New Roman" w:cs="Times New Roman"/>
          <w:color w:val="000000"/>
          <w:sz w:val="24"/>
          <w:szCs w:val="24"/>
        </w:rPr>
        <w:t>Решение антимонопольного органа о согласии на создание объединения хозяйствующих субъектов, включение хозяйствующего субъекта - юрлица в состав участников холдинга действительно в течен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ие одного года со дня принятия соответствующего решения (п. 7 ст. 33 Закона о противодействии монополистической деятельности). Другими словами, с даты выдачи антимонопольным органом такого решения есть год, чтобы зарегистрировать холдинг или включить юрлиц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 в состав его участников.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7" w:name="151"/>
      <w:bookmarkEnd w:id="117"/>
      <w:r w:rsidRPr="00140AB6">
        <w:rPr>
          <w:rFonts w:ascii="Times New Roman" w:hAnsi="Times New Roman" w:cs="Times New Roman"/>
          <w:color w:val="000000"/>
          <w:sz w:val="24"/>
          <w:szCs w:val="24"/>
        </w:rPr>
        <w:t>Законодательство содержит исчерпывающий перечень документов и (или) сведений, необходимых для осуществления соответствующей административной процедуры, представляемый на регистрацию заинтересованным лицом.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8" w:name="153"/>
      <w:bookmarkEnd w:id="118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подтверждающие госрегистрацию юрлиц - участников холдинга, для нерезидентов Республики Беларусь требуют легализации.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9" w:name="154"/>
      <w:bookmarkEnd w:id="119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случае, если юрлицо - участник холдинга является участником Гаагской конвенции, устанавливающей процедуру упрощенной легализации (б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ез консульской легализации), удостоверением подлинности подписи, качества, в котором выступало лицо, подписавшее документ, и печати или штампа, которыми скреплен этот документ, является проставление апостиля компетентным органом государства, в котором этот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был совершен.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0" w:name="155"/>
      <w:bookmarkEnd w:id="120"/>
      <w:r w:rsidRPr="00140AB6">
        <w:rPr>
          <w:rFonts w:ascii="Times New Roman" w:hAnsi="Times New Roman" w:cs="Times New Roman"/>
          <w:color w:val="000000"/>
          <w:sz w:val="24"/>
          <w:szCs w:val="24"/>
        </w:rPr>
        <w:t>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должны быть датированы не позднее одног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 года до дня подачи заявления о регистрации холдинга с переводом на один из государственных языков Республики Беларусь, подтверждающего госрегистрацию этой иностранной организации. Достоверность перевода и подлинность подписи переводчика нотариально свиде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тельствуются.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1" w:name="156"/>
      <w:bookmarkEnd w:id="121"/>
      <w:r w:rsidRPr="00140AB6">
        <w:rPr>
          <w:rFonts w:ascii="Times New Roman" w:hAnsi="Times New Roman" w:cs="Times New Roman"/>
          <w:color w:val="000000"/>
          <w:sz w:val="24"/>
          <w:szCs w:val="24"/>
        </w:rPr>
        <w:t>Регламенты включают также формы заявлений для обращения в Минэкономики за административной процедурой.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2" w:name="157"/>
      <w:bookmarkEnd w:id="122"/>
      <w:r w:rsidRPr="00140AB6">
        <w:rPr>
          <w:rFonts w:ascii="Times New Roman" w:hAnsi="Times New Roman" w:cs="Times New Roman"/>
          <w:color w:val="000000"/>
          <w:sz w:val="24"/>
          <w:szCs w:val="24"/>
        </w:rPr>
        <w:t>Форма заявления о регистрации холдинга (внесении изменения в перечень участников холдинга) включает, помимо иных обязательных 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ведений, основания, подтверждающие правомочность вхождения юрлиц в состав участников холдинга в качестве его дочерних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компаний.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3" w:name="159"/>
      <w:bookmarkEnd w:id="123"/>
      <w:r w:rsidRPr="00140AB6">
        <w:rPr>
          <w:rFonts w:ascii="Times New Roman" w:hAnsi="Times New Roman" w:cs="Times New Roman"/>
          <w:color w:val="000000"/>
          <w:sz w:val="24"/>
          <w:szCs w:val="24"/>
        </w:rPr>
        <w:t>За Минэкономики как органом госуправления, осуществляющим регистрацию и ведение Государственного реестра холдингов, законо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дательно не закреплены ни права, ни обязанности по оценке (равно как и утверждению, согласованию и т.д.) оснований (проектов НПА, договоров, уставов и др.), образующих холдинговую зависимость между участниками холдинга согласно требованиям п. 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достоверность сведений в документах, предоставляемых на регистрацию холдинга (внесение изменения в перечень участников холдинга), несет непосредственно управляющая компания холдинга (собственник или уполномоченное им лицо) (ч. 4 п. 3 У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4" w:name="160"/>
      <w:bookmarkEnd w:id="12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Форма свидетельства о регистрации холдинга, которое выдает Минэкономики вследствие регистрации холдинга, установлена постановлением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5" w:name="569"/>
      <w:bookmarkEnd w:id="125"/>
      <w:r w:rsidRPr="00140AB6">
        <w:rPr>
          <w:rFonts w:ascii="Times New Roman" w:hAnsi="Times New Roman" w:cs="Times New Roman"/>
          <w:color w:val="000000"/>
          <w:sz w:val="24"/>
          <w:szCs w:val="24"/>
        </w:rPr>
        <w:t>Отметим, что перечень участников холдинга оформляется приложением к свидетельству о регистраци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 холдинга согласно установленной форме. В случае изменения информации в отношении участников холдинга, содержащейся в приложении к свидетельству о регистрации холдинга (наименование, организационно-правовая форма, адрес местонахождения юрлица), необходимо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обратиться в Минэкономики и внести соответствующие изменения.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6" w:name="175"/>
      <w:bookmarkEnd w:id="12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 холдинга из Государственного реестра холдингов в связи с прекращением его деятельности осуществляется на основании (ч. 1 п. 10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7" w:name="176"/>
      <w:bookmarkEnd w:id="127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несоответствия условиям соз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дания холдинга, установленным в п. 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8" w:name="177"/>
      <w:bookmarkEnd w:id="128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принятия соответствующим лицом решения о прекращении деятельности холдинга;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9" w:name="178"/>
      <w:bookmarkEnd w:id="12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истечения срока, на который создавался холдинг, предусмотренного решением о создании холдинга и указанного в заявл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ении о его регистрации.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0" w:name="180"/>
      <w:bookmarkEnd w:id="130"/>
      <w:r w:rsidRPr="00140AB6">
        <w:rPr>
          <w:rFonts w:ascii="Times New Roman" w:hAnsi="Times New Roman" w:cs="Times New Roman"/>
          <w:color w:val="000000"/>
          <w:sz w:val="24"/>
          <w:szCs w:val="24"/>
        </w:rPr>
        <w:t>Юрлицо считается включенным (исключенным) в состав участников холдинга, а холдинг прекратившим свою деятельность с даты включения (исключения) Минэкономики в (из) Государственный реестр холдингов, а не с даты принятия соответс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твующих решений (ч. 3 п. 3, ч. 3 п. 10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1" w:name="602"/>
      <w:bookmarkEnd w:id="131"/>
      <w:r w:rsidRPr="00140AB6">
        <w:rPr>
          <w:rFonts w:ascii="Times New Roman" w:hAnsi="Times New Roman" w:cs="Times New Roman"/>
          <w:color w:val="000000"/>
          <w:sz w:val="24"/>
          <w:szCs w:val="24"/>
        </w:rPr>
        <w:t>Действия Минэкономики по регистрации холдинга (регистрации изменений в перечень участников холдинга) могут быть признаны недействительными только по решению суда на основании иска органов госуправл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ения (ч. 5 п. 3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2" w:name="188"/>
      <w:bookmarkEnd w:id="13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По-прежнему не допускаются (ч. 6, 7, 8 п. 3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3" w:name="189"/>
      <w:bookmarkEnd w:id="133"/>
      <w:r w:rsidRPr="00140AB6">
        <w:rPr>
          <w:rFonts w:ascii="Times New Roman" w:hAnsi="Times New Roman" w:cs="Times New Roman"/>
          <w:color w:val="000000"/>
          <w:sz w:val="24"/>
          <w:szCs w:val="24"/>
        </w:rPr>
        <w:t>- использование слов "холдинг", "управляющая компания холдинга", производных от них слов и словосочетаний на основе этих слов в наименовании юрлица, не явля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ющегося участником холдинга;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4" w:name="190"/>
      <w:bookmarkEnd w:id="134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создание и деятельность холдингов, имеющих целью или результатом ущемление каких-либо или чьих-либо прав, свобод и законных интересов;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5" w:name="191"/>
      <w:bookmarkEnd w:id="135"/>
      <w:r w:rsidRPr="00140AB6">
        <w:rPr>
          <w:rFonts w:ascii="Times New Roman" w:hAnsi="Times New Roman" w:cs="Times New Roman"/>
          <w:color w:val="000000"/>
          <w:sz w:val="24"/>
          <w:szCs w:val="24"/>
        </w:rPr>
        <w:t>- участие юрлиц, зарегистрированных в государствах, с которыми у Республики Бе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ларусь отсутствуют международные договоры, предусматривающие обмен информацией по вопросам налогообложения, в качестве участников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6" w:name="570"/>
      <w:bookmarkEnd w:id="136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37" w:name="192"/>
      <w:bookmarkEnd w:id="137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Особенности управления в холдингах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38" w:name="612"/>
      <w:bookmarkEnd w:id="138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9" w:name="193"/>
      <w:bookmarkEnd w:id="139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определены общие ключевые направления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возможной концентрации усилий управляющей компании холдинга в отношении своих дочерних компаний (ч. 1 п. 4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 При этом перечисленные рамочные нормы реализовываются исключительно посредством применения положений действующих НПА в соответствующей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сфере правоотношений.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0" w:name="200"/>
      <w:bookmarkEnd w:id="14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управляющих компаний холдингов признается предпринимательской, исходя из ключевых признаков предпринимательской деятельности, указанных в ч. 2 п. 1 ст. 1 ГК. Это связано со следующим.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1" w:name="203"/>
      <w:bookmarkEnd w:id="141"/>
      <w:r w:rsidRPr="00140AB6">
        <w:rPr>
          <w:rFonts w:ascii="Times New Roman" w:hAnsi="Times New Roman" w:cs="Times New Roman"/>
          <w:color w:val="000000"/>
          <w:sz w:val="24"/>
          <w:szCs w:val="24"/>
        </w:rPr>
        <w:t>Отдельные холдинги явля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ются "чистыми", т.е. управляющие компании в них осуществляют исключительно управленческие функции без параллельно выделенной производственной, торговой и (или) иной деятельности. Такие понятия, как "управление", "управленческая деятельность", "управление 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холдинге" и т.д., в белорусском праве не имеют точного определения и раскрываются неоднообразно, а, как правило, в зависимости от целей применения термина.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2" w:name="205"/>
      <w:bookmarkEnd w:id="142"/>
      <w:r w:rsidRPr="00140AB6">
        <w:rPr>
          <w:rFonts w:ascii="Times New Roman" w:hAnsi="Times New Roman" w:cs="Times New Roman"/>
          <w:color w:val="000000"/>
          <w:sz w:val="24"/>
          <w:szCs w:val="24"/>
        </w:rPr>
        <w:t>Например, управленческие услуги - это услуги по управлению организацией (или ее подразделения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ми, или направлениями деятельности этой организации), осуществлению организационно-распорядительных, контрольных функций в отношении производства, технологического и (или) иного процессов, рисков, имущества, закупок, сбыта (подп. 2.29 п. 2 ст. 13 НК).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3" w:name="206"/>
      <w:bookmarkEnd w:id="143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национальное законодательство не содержит специальных НПА по вопросам (основаниям, порядку, механизму, нормам и т.д.) отчислений дочерними компаниями холдинга средств на содержание управляющей компании холдинга (в отличие от гособъединений 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концернов). В связи с этим не ясна правовая природа таких отчислений.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4" w:name="207"/>
      <w:bookmarkEnd w:id="144"/>
      <w:r w:rsidRPr="00140AB6">
        <w:rPr>
          <w:rFonts w:ascii="Times New Roman" w:hAnsi="Times New Roman" w:cs="Times New Roman"/>
          <w:color w:val="000000"/>
          <w:sz w:val="24"/>
          <w:szCs w:val="24"/>
        </w:rPr>
        <w:t>С учетом данного обстоятельства совершение между участниками холдинга подобного рода хозяйственных операций (в случае если они имеют безвозмездный характер - не предполагают встреч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ного предоставления), полагаем, может быть расценено как дарение, прямо запрещенное между коммерческими организациями (подп. 4 ч. 1 ст. 546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5" w:name="211"/>
      <w:bookmarkEnd w:id="145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случае если указанные операции будут иметь встречное предоставление, например оказание услуги, то в соо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тветствии с гражданским законодательством они должны быть соответствующим образом оформлены.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6" w:name="571"/>
      <w:bookmarkEnd w:id="146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47" w:name="212"/>
      <w:bookmarkEnd w:id="147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48" w:name="213"/>
      <w:bookmarkEnd w:id="148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Источниками финансирования управляющих компаний холдингов по общему правилу являются: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49" w:name="214"/>
      <w:bookmarkEnd w:id="149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дивиденды на принадлежащие управляющей компании холдинга акции дочерних компаний;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50" w:name="215"/>
      <w:bookmarkEnd w:id="150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часть прибыли, полученной дочерними компаниями холдинга - УП;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51" w:name="216"/>
      <w:bookmarkEnd w:id="151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доходы от оказания услуг управляющей компанией своим дочерним компаниям;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52" w:name="217"/>
      <w:bookmarkEnd w:id="152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доходы (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прибыль), полученные самой управляющей компанией от осуществления иной (помимо управления дочерними компаниями холдинга) деятельности (для управляющих компаний, возникших на базе существующего юрлица).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3" w:name="572"/>
      <w:bookmarkEnd w:id="153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4" w:name="218"/>
      <w:bookmarkEnd w:id="154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этой связи в целях предотвращения как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их-либо разночтений деятельность управляющих компаний холдингов признается предпринимательской, а стоимость работ и услуг, оказываемых управляющей компанией дочерним, последние правомерно могут относить на свои затраты (ч. 3 п. 4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5" w:name="221"/>
      <w:bookmarkEnd w:id="155"/>
      <w:r w:rsidRPr="00140AB6">
        <w:rPr>
          <w:rFonts w:ascii="Times New Roman" w:hAnsi="Times New Roman" w:cs="Times New Roman"/>
          <w:color w:val="000000"/>
          <w:sz w:val="24"/>
          <w:szCs w:val="24"/>
        </w:rPr>
        <w:t>В пред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елах одного холдинга управляющей компании холдинга или делегированной ею дочерней компании этого холдинга предоставляется право на (п. 5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6" w:name="222"/>
      <w:bookmarkEnd w:id="156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представление участников холдинга в судах по делам этих участников, а также на оказание юридическ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их услуг без наличия специального разрешения (лицензии).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7" w:name="228"/>
      <w:bookmarkEnd w:id="15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Полагаем, данное положение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является не противоречащим общим процессуальным положениям (ч. 2 ст. 76 ХПК, ч. 2 ст. 70, п. 4 ч. 2 ст. 72 ГПК), а дополняющим.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8" w:name="230"/>
      <w:bookmarkEnd w:id="158"/>
      <w:r w:rsidRPr="00140AB6">
        <w:rPr>
          <w:rFonts w:ascii="Times New Roman" w:hAnsi="Times New Roman" w:cs="Times New Roman"/>
          <w:color w:val="000000"/>
          <w:sz w:val="24"/>
          <w:szCs w:val="24"/>
        </w:rPr>
        <w:t>Оказание юридически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х услуг исключительно между участниками одного холдинга подразумевает отсутствие необходимости получения лицензии. Тогда как возмездность оказываемых услуг, полагаем, сохраняется;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9" w:name="231"/>
      <w:bookmarkEnd w:id="15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осуществление охранной деятельности в отношении объектов (имущества)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иных участников холдинга, за исключением объектов, подлежащих обязательной охране Департаментом охраны МВД.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0" w:name="233"/>
      <w:bookmarkEnd w:id="16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Организациям, осуществляющим охранную деятельность, запрещается осуществлять охрану физлиц, не являющихся работниками этих организаций, и не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принадлежащих этим организациям объектов, за исключением случаев, предусмотренных Законом об охранной деятельности и иными законодательными актами (абз. 8 ст. 10 Закона об охранной деятельности).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1" w:name="234"/>
      <w:bookmarkEnd w:id="161"/>
      <w:r w:rsidRPr="00140AB6">
        <w:rPr>
          <w:rFonts w:ascii="Times New Roman" w:hAnsi="Times New Roman" w:cs="Times New Roman"/>
          <w:color w:val="000000"/>
          <w:sz w:val="24"/>
          <w:szCs w:val="24"/>
        </w:rPr>
        <w:t>Кроме того, в целях минимизации вмешательства государс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тва посредством механизма лицензирования в предпринимательскую деятельность субъектов хозяйствования с 01.10.2019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326 исключено лицензирование охраны юрлицом своих работников и принадлежащих ему объектов (имущества).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2" w:name="235"/>
      <w:bookmarkEnd w:id="162"/>
      <w:r w:rsidRPr="00140AB6">
        <w:rPr>
          <w:rFonts w:ascii="Times New Roman" w:hAnsi="Times New Roman" w:cs="Times New Roman"/>
          <w:color w:val="000000"/>
          <w:sz w:val="24"/>
          <w:szCs w:val="24"/>
        </w:rPr>
        <w:t>Предоставление управляющ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ей компании холдинга (определенной ею дочерней компании) и реализация ею вышеуказанных полномочий позволит: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3" w:name="236"/>
      <w:bookmarkEnd w:id="163"/>
      <w:r w:rsidRPr="00140AB6">
        <w:rPr>
          <w:rFonts w:ascii="Times New Roman" w:hAnsi="Times New Roman" w:cs="Times New Roman"/>
          <w:color w:val="000000"/>
          <w:sz w:val="24"/>
          <w:szCs w:val="24"/>
        </w:rPr>
        <w:t>исключить дублирование функций;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4" w:name="237"/>
      <w:bookmarkEnd w:id="164"/>
      <w:r w:rsidRPr="00140AB6">
        <w:rPr>
          <w:rFonts w:ascii="Times New Roman" w:hAnsi="Times New Roman" w:cs="Times New Roman"/>
          <w:color w:val="000000"/>
          <w:sz w:val="24"/>
          <w:szCs w:val="24"/>
        </w:rPr>
        <w:t>повысить оперативность и эффективность деятельности за счет создания единой системы (консультативной, те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хнической безопасности);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5" w:name="238"/>
      <w:bookmarkEnd w:id="165"/>
      <w:r w:rsidRPr="00140AB6">
        <w:rPr>
          <w:rFonts w:ascii="Times New Roman" w:hAnsi="Times New Roman" w:cs="Times New Roman"/>
          <w:color w:val="000000"/>
          <w:sz w:val="24"/>
          <w:szCs w:val="24"/>
        </w:rPr>
        <w:t>сократить затраты на содержание аппаратов управления участников холдинга (заработная плата, обязательные платежи с фонда заработной платы, накладные расходы);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6" w:name="573"/>
      <w:bookmarkEnd w:id="166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7" w:name="239"/>
      <w:bookmarkEnd w:id="167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совместное с иными участниками холдинга выступлени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 в качестве участника в процедурах закупок товаров (работ, услуг) с соблюдением ряда условий.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8" w:name="240"/>
      <w:bookmarkEnd w:id="168"/>
      <w:r w:rsidRPr="00140AB6">
        <w:rPr>
          <w:rFonts w:ascii="Times New Roman" w:hAnsi="Times New Roman" w:cs="Times New Roman"/>
          <w:color w:val="000000"/>
          <w:sz w:val="24"/>
          <w:szCs w:val="24"/>
        </w:rPr>
        <w:t>Органом госуправления, ответственным за проведение государственной политики в области закупок товаров (работ, услуг), является МАРТ;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9" w:name="241"/>
      <w:bookmarkEnd w:id="16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проведение зак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упок за счет собственных средств для нужд участников холдинга в соответствии с законодательством о закупках за счет собственных средств, с учетом установленных особенностей осуществления таких закупок.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0" w:name="242"/>
      <w:bookmarkEnd w:id="170"/>
      <w:r w:rsidRPr="00140AB6">
        <w:rPr>
          <w:rFonts w:ascii="Times New Roman" w:hAnsi="Times New Roman" w:cs="Times New Roman"/>
          <w:color w:val="000000"/>
          <w:sz w:val="24"/>
          <w:szCs w:val="24"/>
        </w:rPr>
        <w:t>Закупки за счет собственных средств регулируются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229.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Постановлением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229 очерчен круг лиц, на которых распространяются его положения (подп. 1.1 п. 1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229), а также особенности осуществления таких закупок с учетом специфики осуществляемой деятельности (ч. 2 подп. 2.13 п.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229).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1" w:name="257"/>
      <w:bookmarkEnd w:id="171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этой связи закрепление в подп. 5.4 п. 5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за управляющей компанией холдинга права на проведение закупок за счет собственных средств для нужд участников холдинга в соответствии с законодательством о закупках за сче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 собственных средств, с учетом установленных особенностей осуществления таких закупок, выравнивает правовое регулирование и указывает на возможность применения управляющей компанией холдинга (определенной ею дочерней компанией этого холдинга) особенностей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установленных в подп. 2.13 п. 2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229.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2" w:name="613"/>
      <w:bookmarkEnd w:id="172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73" w:name="258"/>
      <w:bookmarkEnd w:id="173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Льготные (преференциальные) режимы в холдинге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74" w:name="614"/>
      <w:bookmarkEnd w:id="174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5" w:name="259"/>
      <w:bookmarkEnd w:id="175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Льготные (преференциальные) режимы в редакции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не претерпели существенных изменений. По-прежнему они связаны с 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вумя хозяйственными операциями: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6" w:name="260"/>
      <w:bookmarkEnd w:id="176"/>
      <w:r w:rsidRPr="00140AB6">
        <w:rPr>
          <w:rFonts w:ascii="Times New Roman" w:hAnsi="Times New Roman" w:cs="Times New Roman"/>
          <w:color w:val="000000"/>
          <w:sz w:val="24"/>
          <w:szCs w:val="24"/>
        </w:rPr>
        <w:t>1) использованием денежных средств из централизованного фонда, которые не включаются в состав внереализационных доходов (освобождены от налога на прибыль и единого налога для сельхозпроизводителей);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7" w:name="261"/>
      <w:bookmarkEnd w:id="177"/>
      <w:r w:rsidRPr="00140AB6">
        <w:rPr>
          <w:rFonts w:ascii="Times New Roman" w:hAnsi="Times New Roman" w:cs="Times New Roman"/>
          <w:color w:val="000000"/>
          <w:sz w:val="24"/>
          <w:szCs w:val="24"/>
        </w:rPr>
        <w:t>2) безвозмезд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ной передачей отдельных объектов гражданских прав (имущества):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8" w:name="262"/>
      <w:bookmarkEnd w:id="178"/>
      <w:r w:rsidRPr="00140AB6">
        <w:rPr>
          <w:rFonts w:ascii="Times New Roman" w:hAnsi="Times New Roman" w:cs="Times New Roman"/>
          <w:color w:val="000000"/>
          <w:sz w:val="24"/>
          <w:szCs w:val="24"/>
        </w:rPr>
        <w:t>- имущество, безвозмездно полученное от участников холдинга, не включается в состав внереализационных доходов (освобождено от налога на прибыль и единого налога для сельхозпроизводителей)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9" w:name="263"/>
      <w:bookmarkEnd w:id="17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безвозмездная передача основных средств не облагается НДС.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0" w:name="264"/>
      <w:bookmarkEnd w:id="18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этой связи закреплены общие условия утраты участниками холдинга права на льготы (преференции), предоставленные в связи с созданием и (или) деятельностью холдинга (п. 6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1" w:name="265"/>
      <w:bookmarkEnd w:id="181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 даты регистрации холдинга (регистрации изменений в перечень участников холдинга) - при установлении факта представления заинтересованным лицом в Минэкономики для регистрации холдинга (регистрации изменений в перечень участников холдинга) завед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омо ложных сведений;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2" w:name="574"/>
      <w:bookmarkEnd w:id="182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83" w:name="266"/>
      <w:bookmarkEnd w:id="183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84" w:name="267"/>
      <w:bookmarkEnd w:id="184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Такая регистрация признается недействительной по решению суда на основании иска органов КГК, прокуратуры, внутренних дел, госбезопасности, налоговых и иных упо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лномоченных органов в пределах их компетенции.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5" w:name="575"/>
      <w:bookmarkEnd w:id="185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6" w:name="268"/>
      <w:bookmarkEnd w:id="186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 даты заключения договора доверительного управления или иного договора - в случае признания судом недействительными (установлен факт ничтожности) таких договоров;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7" w:name="269"/>
      <w:bookmarkEnd w:id="187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 даты наступления об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стоятельств, повлекших несоответствие включения в состав участников холдинга дочерней компании условиям создания холдинга, установленным в п. 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- при выявлении факта необращения (несвоевременного обращения) управляющей компании (собственника)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 Минэкономики.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8" w:name="576"/>
      <w:bookmarkEnd w:id="188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89" w:name="270"/>
      <w:bookmarkEnd w:id="189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90" w:name="271"/>
      <w:bookmarkEnd w:id="190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Срок для обращения управляющей компании холдинга (собственника) - три рабочих дня со дня возникновения таких обстоятельств. Принятие решения управляющей компанией (с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обственником) об исключении дочерней компании из состава участников холдинга по приведенному основанию не требуется.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1" w:name="577"/>
      <w:bookmarkEnd w:id="191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92" w:name="272"/>
      <w:bookmarkEnd w:id="192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Особенности регулирования деятельности в холдингах с участием государства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93" w:name="615"/>
      <w:bookmarkEnd w:id="193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4" w:name="273"/>
      <w:bookmarkEnd w:id="19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Введен термин "холдинг с участием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государства", и дано его определение. Это холдинг, управляющей компанией которого выступает госорганизация (абз. 13 ст. 1 Закона о борьбе с коррупцией) или хозобщество, более 50% акций (долей в уставном фонде) которого находится в собственности Республики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Беларусь и (или) ее административно-территориальной единицы (ч. 1 п. 7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5" w:name="276"/>
      <w:bookmarkEnd w:id="195"/>
      <w:r w:rsidRPr="00140AB6">
        <w:rPr>
          <w:rFonts w:ascii="Times New Roman" w:hAnsi="Times New Roman" w:cs="Times New Roman"/>
          <w:color w:val="000000"/>
          <w:sz w:val="24"/>
          <w:szCs w:val="24"/>
        </w:rPr>
        <w:t>Как было отмечено ранее, в качестве управляющей компании холдинга может выступать только коммерческая организация. Следовательно, полагаем, в холдинге с участием гос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ударства в качестве управляющей компании холдинга могут выступать, например, юрлица следующих организационно-правовых форм: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6" w:name="277"/>
      <w:bookmarkEnd w:id="196"/>
      <w:r w:rsidRPr="00140AB6">
        <w:rPr>
          <w:rFonts w:ascii="Times New Roman" w:hAnsi="Times New Roman" w:cs="Times New Roman"/>
          <w:color w:val="000000"/>
          <w:sz w:val="24"/>
          <w:szCs w:val="24"/>
        </w:rPr>
        <w:t>- ОАО;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7" w:name="278"/>
      <w:bookmarkEnd w:id="197"/>
      <w:r w:rsidRPr="00140AB6">
        <w:rPr>
          <w:rFonts w:ascii="Times New Roman" w:hAnsi="Times New Roman" w:cs="Times New Roman"/>
          <w:color w:val="000000"/>
          <w:sz w:val="24"/>
          <w:szCs w:val="24"/>
        </w:rPr>
        <w:t>- ЗАО;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8" w:name="279"/>
      <w:bookmarkEnd w:id="198"/>
      <w:r w:rsidRPr="00140AB6">
        <w:rPr>
          <w:rFonts w:ascii="Times New Roman" w:hAnsi="Times New Roman" w:cs="Times New Roman"/>
          <w:color w:val="000000"/>
          <w:sz w:val="24"/>
          <w:szCs w:val="24"/>
        </w:rPr>
        <w:t>- ООО;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9" w:name="280"/>
      <w:bookmarkEnd w:id="19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ОДО;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0" w:name="281"/>
      <w:bookmarkEnd w:id="200"/>
      <w:r w:rsidRPr="00140AB6">
        <w:rPr>
          <w:rFonts w:ascii="Times New Roman" w:hAnsi="Times New Roman" w:cs="Times New Roman"/>
          <w:color w:val="000000"/>
          <w:sz w:val="24"/>
          <w:szCs w:val="24"/>
        </w:rPr>
        <w:t>- РУП;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1" w:name="282"/>
      <w:bookmarkEnd w:id="201"/>
      <w:r w:rsidRPr="00140AB6">
        <w:rPr>
          <w:rFonts w:ascii="Times New Roman" w:hAnsi="Times New Roman" w:cs="Times New Roman"/>
          <w:color w:val="000000"/>
          <w:sz w:val="24"/>
          <w:szCs w:val="24"/>
        </w:rPr>
        <w:t>- КУП.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2" w:name="283"/>
      <w:bookmarkEnd w:id="202"/>
      <w:r w:rsidRPr="00140AB6">
        <w:rPr>
          <w:rFonts w:ascii="Times New Roman" w:hAnsi="Times New Roman" w:cs="Times New Roman"/>
          <w:color w:val="000000"/>
          <w:sz w:val="24"/>
          <w:szCs w:val="24"/>
        </w:rPr>
        <w:t>Включено два направления консолидации акций (дол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ей в уставном фонде):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3" w:name="284"/>
      <w:bookmarkEnd w:id="203"/>
      <w:r w:rsidRPr="00140AB6">
        <w:rPr>
          <w:rFonts w:ascii="Times New Roman" w:hAnsi="Times New Roman" w:cs="Times New Roman"/>
          <w:color w:val="000000"/>
          <w:sz w:val="24"/>
          <w:szCs w:val="24"/>
        </w:rPr>
        <w:t>1) в рамках уставного капитала управляющей компании холдинга с участием государства акции (доли в уставных фондах) передаются в трехмесячный срок с даты: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4" w:name="285"/>
      <w:bookmarkEnd w:id="204"/>
      <w:r w:rsidRPr="00140AB6">
        <w:rPr>
          <w:rFonts w:ascii="Times New Roman" w:hAnsi="Times New Roman" w:cs="Times New Roman"/>
          <w:color w:val="000000"/>
          <w:sz w:val="24"/>
          <w:szCs w:val="24"/>
        </w:rPr>
        <w:t>- регистрации холдинга;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5" w:name="286"/>
      <w:bookmarkEnd w:id="205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получения в собственность акций (дол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ей в уставном фонде);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6" w:name="287"/>
      <w:bookmarkEnd w:id="20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- 10.04.2022 (ч. 2 п. 7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7" w:name="288"/>
      <w:bookmarkEnd w:id="207"/>
      <w:r w:rsidRPr="00140AB6">
        <w:rPr>
          <w:rFonts w:ascii="Times New Roman" w:hAnsi="Times New Roman" w:cs="Times New Roman"/>
          <w:color w:val="000000"/>
          <w:sz w:val="24"/>
          <w:szCs w:val="24"/>
        </w:rPr>
        <w:t>Консолидация акций (долей в уставном фонде) управляющей компании холдинга с участием государства осуществляется на праве госсобственности (п. 1 ст. 215 ГК) по принципу преимущественног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 владения (управления) наибольшим количеством акций (долей в уставном фонде) на дату принятия соответствующего решения.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8" w:name="292"/>
      <w:bookmarkEnd w:id="208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Указ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не содержит императивного требования к передаче акций (долей в уставном фонде) из республиканской формы собственности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 коммунальную собственность (или обратно). Вместе с тем сохраняется право на отчуждение госимущества (акций (долей в уставном фонде)) в установленном законодательством порядке путем его передачи из собственности Республики Беларусь в коммунальную собствен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ность, а также из коммунальной собственности в собственность Республики Беларусь, из собственности одной административно-территориальной единицы в собственность другой административно-территориальной единицы. Другими словами, если в уставном капитале управ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ляющей компании холдинга с участием государства одновременно присутствуют в качестве собственника и Республика Беларусь, и административно-территориальная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единица (или даже несколько из них), то консолидация акций (долей в уставном фонде) "в руках" одного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собственника (в случае ее целесообразности, необходимости и т.д.) правомочна. Переход из одной собственности в другую в силу их правовой природы возможен на основании добровольного волеизъявления собственника акций (долей в уставном фонде);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9" w:name="578"/>
      <w:bookmarkEnd w:id="209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0" w:name="293"/>
      <w:bookmarkEnd w:id="210"/>
      <w:r w:rsidRPr="00140A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) в рамках уставных капиталов дочерних компаний, входящих в состав участников холдинга с участием государства, акции (доли в уставных фондах), находящиеся в собственности Республики Беларусь и (или) ее административно-территориальной единицы, передаются в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трехмесячный срок с даты: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1" w:name="294"/>
      <w:bookmarkEnd w:id="211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принятия решения о создании холдинга (включении дочерних компаний в состав участников холдинга);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2" w:name="295"/>
      <w:bookmarkEnd w:id="212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получения акций (долей в уставных фондах) в соответствующую госсобственность;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3" w:name="296"/>
      <w:bookmarkEnd w:id="213"/>
      <w:r w:rsidRPr="00140AB6">
        <w:rPr>
          <w:rFonts w:ascii="Times New Roman" w:hAnsi="Times New Roman" w:cs="Times New Roman"/>
          <w:color w:val="000000"/>
          <w:sz w:val="24"/>
          <w:szCs w:val="24"/>
        </w:rPr>
        <w:t>- 10.04.2022.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4" w:name="297"/>
      <w:bookmarkEnd w:id="21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Консолидация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акций (долей в уставном фонде) дочерних компаний холдингов с участием государства базируется на основаниях п. 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через: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5" w:name="298"/>
      <w:bookmarkEnd w:id="215"/>
      <w:r w:rsidRPr="00140AB6">
        <w:rPr>
          <w:rFonts w:ascii="Times New Roman" w:hAnsi="Times New Roman" w:cs="Times New Roman"/>
          <w:color w:val="000000"/>
          <w:sz w:val="24"/>
          <w:szCs w:val="24"/>
        </w:rPr>
        <w:t>- внесение в качестве неденежного вклада в уставные фонды управляющих компаний холдингов с участием государства - хозоб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ществ;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6" w:name="299"/>
      <w:bookmarkEnd w:id="216"/>
      <w:r w:rsidRPr="00140AB6">
        <w:rPr>
          <w:rFonts w:ascii="Times New Roman" w:hAnsi="Times New Roman" w:cs="Times New Roman"/>
          <w:color w:val="000000"/>
          <w:sz w:val="24"/>
          <w:szCs w:val="24"/>
        </w:rPr>
        <w:t>- закрепление на праве хозяйственного ведения (оперативного управления) за управляющими компаниями холдингов с участием государства - государственными УП;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7" w:name="300"/>
      <w:bookmarkEnd w:id="217"/>
      <w:r w:rsidRPr="00140AB6">
        <w:rPr>
          <w:rFonts w:ascii="Times New Roman" w:hAnsi="Times New Roman" w:cs="Times New Roman"/>
          <w:color w:val="000000"/>
          <w:sz w:val="24"/>
          <w:szCs w:val="24"/>
        </w:rPr>
        <w:t>- передачу управляющим компаниям холдингов с участием государства по договору дове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рительного управления (ч. 3 п. 7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8" w:name="579"/>
      <w:bookmarkEnd w:id="218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19" w:name="301"/>
      <w:bookmarkEnd w:id="219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20" w:name="302"/>
      <w:bookmarkEnd w:id="220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Первоначальная форма взаимодействия между управляющей компанией холдинга и его дочерней компанией на основании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п. 1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Указа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385 не ис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ключает выбор и сочетание иного основания, обеспечивающего управляющей компании холдинга возможность оказывать влияние на решения, принимаемые дочерними компаниями холдинга, в целях консолидации пакета акций (долей в уставном фонде).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21" w:name="303"/>
      <w:bookmarkEnd w:id="221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Данные положения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включены в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385 в целях формирования единого управленческого начала в лице одного юрлица - управляющей компании холдинга с участием государства.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22" w:name="304"/>
      <w:bookmarkEnd w:id="222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практике встречаются такие ситуации, когда в качестве собственника акций (долей) в уставных фон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дах дочерних компаний, а также органа, осуществляющего владельческий надзор, наряду с общепризнанными госорганами и госорганизациями могут выступать иные, уполномоченные на управление акциями (долями в уставных фондах), госорганизации. Это, как правило, го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спредприятия и учреждения(п. 2 Положения </w:t>
      </w:r>
      <w:r w:rsidR="00140AB6"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694) (см. рисунок).</w:t>
      </w:r>
    </w:p>
    <w:p w:rsidR="00000000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bookmarkStart w:id="223" w:name="338"/>
      <w:bookmarkEnd w:id="223"/>
      <w:r>
        <w:rPr>
          <w:rFonts w:ascii="Arial" w:hAnsi="Arial" w:cs="Arial"/>
          <w:color w:val="000000"/>
        </w:rPr>
        <w:t> </w:t>
      </w:r>
    </w:p>
    <w:p w:rsidR="00000000" w:rsidRDefault="00140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24" w:name="628"/>
      <w:bookmarkEnd w:id="224"/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762625" cy="6477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>
        <w:rPr>
          <w:rFonts w:ascii="Arial" w:hAnsi="Arial" w:cs="Arial"/>
          <w:color w:val="000000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225" w:name="340"/>
      <w:bookmarkEnd w:id="225"/>
      <w:r>
        <w:rPr>
          <w:rFonts w:ascii="Arial" w:hAnsi="Arial" w:cs="Arial"/>
          <w:color w:val="000000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26" w:name="341"/>
      <w:bookmarkEnd w:id="226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Рисунок. Условный пример формирования уставных фондов дочерних компаний холдингов с участием государства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27" w:name="623"/>
      <w:bookmarkEnd w:id="227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8" w:name="598"/>
      <w:bookmarkEnd w:id="228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Нередко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органах управления дочерних компаний холдингов с участием государства складывается не только двойное подчинение - ООО "Подорожник": облисполком и управляющая компания холдинга, но и тройное - ОАО "Одуванчик": облисполком, управляющая компания холдинга 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рай-, горисполком или ОАО "Василек": облисполком, управляющая компания холдинга и иная госорганизация. И даже в составе четырех госорганов и организаций, например, ОАО "Ромашка": облисполком, управляющая компания холдинга (не является ни госорганом, ни гос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организацией), республиканский орган госуправления (ГКИ), иные госорганизации (КСУП и УО).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9" w:name="343"/>
      <w:bookmarkEnd w:id="229"/>
      <w:r w:rsidRPr="00140AB6">
        <w:rPr>
          <w:rFonts w:ascii="Times New Roman" w:hAnsi="Times New Roman" w:cs="Times New Roman"/>
          <w:color w:val="000000"/>
          <w:sz w:val="24"/>
          <w:szCs w:val="24"/>
        </w:rPr>
        <w:t>УП признается коммерческая организация, не наделенная правом собственности на закрепленное за ней собственником имущество (ч. 1 п. 1 ст. 113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0" w:name="345"/>
      <w:bookmarkEnd w:id="230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во РУП находится в собственности Республики Беларусь и принадлежит такому предприятию на праве хозяйственного ведения или оперативного управления.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1" w:name="346"/>
      <w:bookmarkEnd w:id="231"/>
      <w:r w:rsidRPr="00140AB6">
        <w:rPr>
          <w:rFonts w:ascii="Times New Roman" w:hAnsi="Times New Roman" w:cs="Times New Roman"/>
          <w:color w:val="000000"/>
          <w:sz w:val="24"/>
          <w:szCs w:val="24"/>
        </w:rPr>
        <w:t>Имущество КУП находится в собственности административно-территориальной единицы и принадлежит такому пр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едприятию на праве хозяйственного ведения (ч. 4, 5 п. 2 ст. 113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2" w:name="347"/>
      <w:bookmarkEnd w:id="232"/>
      <w:r w:rsidRPr="00140AB6">
        <w:rPr>
          <w:rFonts w:ascii="Times New Roman" w:hAnsi="Times New Roman" w:cs="Times New Roman"/>
          <w:color w:val="000000"/>
          <w:sz w:val="24"/>
          <w:szCs w:val="24"/>
        </w:rPr>
        <w:t>От имени Республики Беларусь права собственника имущества РУП осуществляют Правительство Республики Беларусь, а также в пределах, установленных законодательством, республиканские ор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ганы госуправления, другие госорганы и организации, уполномоченные управлять таким имуществом.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3" w:name="348"/>
      <w:bookmarkEnd w:id="233"/>
      <w:r w:rsidRPr="00140AB6">
        <w:rPr>
          <w:rFonts w:ascii="Times New Roman" w:hAnsi="Times New Roman" w:cs="Times New Roman"/>
          <w:color w:val="000000"/>
          <w:sz w:val="24"/>
          <w:szCs w:val="24"/>
        </w:rPr>
        <w:t>От имени административно-территориальной единицы права собственника имущества КУП, основанного на праве хозяйственного ведения, осуществляют соответствующи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 органы местного управления и самоуправления, а также в пределах, установленных законодательством, уполномоченные ими госорганизации (ч. 1, 2 п. 5 ст. 113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4" w:name="349"/>
      <w:bookmarkEnd w:id="234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этой связи акции (доли в уставных фондах), закрепленные на праве хозяйственного ведения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за государственными УП или на праве оперативного управления за учреждениями и находящиеся в соответствующей госсобственности, передаются в управляющую компанию холдинга с участием государства на основании решения собственника имущества таких госорганизаци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5" w:name="350"/>
      <w:bookmarkEnd w:id="235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случае если между управляющей компанией холдинга с участием государства и его дочерней компанией заключен иной договор как самостоятельное и единственное основание взаимодействия между ними в холдинге, а также исходя из того, что иной договор яв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ляется исключительной формой взаимодействия участников в холдинге с точки зрения сохранения прав собственности на акции (доли в уставном фонде), то акции (доли в уставном фонде) таких дочерних компаний холдингов с участием государства не подлежат консолида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ции (ч. 4 п. 7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6" w:name="351"/>
      <w:bookmarkEnd w:id="236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целях снижения затрат по-прежнему экспертиза достоверности оценки неденежного вклада при внесении находящихся в госсобственности акций (долей в уставных фондах) дочерней компании холдинга с участием государства в качест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ве неденежного вклада в уставный фонд управляющей компании такого холдинга не проводится.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7" w:name="352"/>
      <w:bookmarkEnd w:id="23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участников холдинга с участием государства, вошедших в состав такого холдинга на основании одной из трех форм взаимодействия между участниками, где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происходит не только движение по счету "депо", но и смена собственника акций (долей в уставных фондах), сохраняются установленные ранее законодательными актами меры экономического стимулирования (ч. 5, 6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8" w:name="616"/>
      <w:bookmarkEnd w:id="238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39" w:name="353"/>
      <w:bookmarkEnd w:id="239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Особенности упра</w:t>
      </w:r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вления в холдингах с участием государства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40" w:name="617"/>
      <w:bookmarkEnd w:id="240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1" w:name="354"/>
      <w:bookmarkEnd w:id="241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целях снижения риска возникновения конфликта интересов между управляющей компанией холдинга с участием государства как собственника имущества, акций (долей в уставных фондах) дочерних компаний и орг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анами госуправления такой управляющей компании предоставили право на: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2" w:name="355"/>
      <w:bookmarkEnd w:id="24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доведение ключевых показателей эффективности работы руководителям дочерних компаний (абз. 2 ч. 1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3" w:name="356"/>
      <w:bookmarkEnd w:id="243"/>
      <w:r w:rsidRPr="00140AB6">
        <w:rPr>
          <w:rFonts w:ascii="Times New Roman" w:hAnsi="Times New Roman" w:cs="Times New Roman"/>
          <w:color w:val="000000"/>
          <w:sz w:val="24"/>
          <w:szCs w:val="24"/>
        </w:rPr>
        <w:t>Глава государства ежегодно делегирует Правительству Респ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ублики Беларусь устанавливать на очередной текущий год ключевые показатели эффективности работы для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руководителей госорганизаций и хозобществ, в уставных фондах которых 50% и более акций (долей в уставных фондах) принадлежит государству, являющихся управля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ющими компаниями холдингов, - в целом по холдингу.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4" w:name="357"/>
      <w:bookmarkEnd w:id="24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этой связи реализация политики органа госуправления должна осуществляться посредством участия представителя государства в органах управления управляющей компании холдинга с участием государства, в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том числе в части доведения ключевых показателей эффективности деятельности в целом по холдингу для руководителя в соответствии с действующим законодательством.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5" w:name="358"/>
      <w:bookmarkEnd w:id="245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свою очередь, управляющая компания холдинга с участием государства через своих представ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ителей посредством участия в органах управления дочерних компаний холдинга "распределяет" между ними показатели эффективности деятельности, реализует и контролирует иные процессы достижения высоких результатов деятельности.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6" w:name="360"/>
      <w:bookmarkEnd w:id="246"/>
      <w:r w:rsidRPr="00140AB6">
        <w:rPr>
          <w:rFonts w:ascii="Times New Roman" w:hAnsi="Times New Roman" w:cs="Times New Roman"/>
          <w:color w:val="000000"/>
          <w:sz w:val="24"/>
          <w:szCs w:val="24"/>
        </w:rPr>
        <w:t>Доведение руководителям ор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ганизаций, перечисленных в соответствующем НПА, иных показателей, кроме как указанных в постановлении, не допускается.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7" w:name="361"/>
      <w:bookmarkEnd w:id="247"/>
      <w:r w:rsidRPr="00140AB6">
        <w:rPr>
          <w:rFonts w:ascii="Times New Roman" w:hAnsi="Times New Roman" w:cs="Times New Roman"/>
          <w:color w:val="000000"/>
          <w:sz w:val="24"/>
          <w:szCs w:val="24"/>
        </w:rPr>
        <w:t>Исполнение всех установленных ключевых показателей эффективности работы руководителя в целом по холдингу является основанием для вы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платы по итогам года ежегодного единовременного вознаграждения за счет чистой прибыли как руководителям, так и их заместителям (ч. 7 - 11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8" w:name="363"/>
      <w:bookmarkEnd w:id="248"/>
      <w:r w:rsidRPr="00140AB6">
        <w:rPr>
          <w:rFonts w:ascii="Times New Roman" w:hAnsi="Times New Roman" w:cs="Times New Roman"/>
          <w:color w:val="000000"/>
          <w:sz w:val="24"/>
          <w:szCs w:val="24"/>
        </w:rPr>
        <w:t>Ежегодное единовременное вознаграждение руководителю управляющей компании холдинга с участием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государства, выплачиваемое с соблюдением всех условий, установленных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является дополнительным к вознаграждению по итогам работы за год или годовому бонусу, предусмотренным подп. 6.5 и 6.6 п. 6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597. Первое - за руководство деят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ельностью холдинга, второе - за руководство деятельностью отдельно взятого юрлица - управляющей компании холдинга с участием государства;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9" w:name="364"/>
      <w:bookmarkEnd w:id="249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согласование утвержденных прогнозов развития дочерних компаний на пять лет и бизнес-планы их развития на год (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абз. 2 ч. 1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0" w:name="365"/>
      <w:bookmarkEnd w:id="25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Порядок разработки, утверждения, согласования и реализации прогнозов развития на пять лет и бизнес-планов развития на год для государственных коммерческих организаций и негосударственных коммерческих организаций, акции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(доли) которых принадлежат Республике Беларусь (ее административно-территориальным единицам) и переданы в управление соответствующим органам госуправления, установлен постановлением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873.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1" w:name="366"/>
      <w:bookmarkEnd w:id="251"/>
      <w:r w:rsidRPr="00140AB6">
        <w:rPr>
          <w:rFonts w:ascii="Times New Roman" w:hAnsi="Times New Roman" w:cs="Times New Roman"/>
          <w:color w:val="000000"/>
          <w:sz w:val="24"/>
          <w:szCs w:val="24"/>
        </w:rPr>
        <w:t>Обязанность по составлению прогнозов развития на пять лет и б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изнес-планов развития на год установлена для любой коммерческой организации, независимо от доли участия государства в ее уставном фонде. Утвержденные прогнозы и бизнес-планы развития направляются в органы госуправления для согласования (ч. 2, 3 п. 9, гл. 4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873).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2" w:name="370"/>
      <w:bookmarkEnd w:id="25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разнообразия форм взаимодействия между управляющей компанией холдинга и его дочерними компаниями (с учетом перехода права собственности на акции (доли) или без такого перехода) ограничение участия органов госуправления 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иных госорганизаций, включая местные исполнительные и распорядительные органы, в отношении дочерних компаний холдинга с участием государства выравнивает условия их хозяйствования, независимо от выбранной формы взаимодействия между участниками;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3" w:name="371"/>
      <w:bookmarkEnd w:id="253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согл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асование или установление коэффициента соотношения средней заработной платы руководителя дочерней компании и средней заработной платы по дочерней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компании в целом (абз. 3 ч. 1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4" w:name="372"/>
      <w:bookmarkEnd w:id="25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любой организации, независимо от формы собственности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(государственная, с участием государства, частная), коэффициент соотношения средней заработной платы руководителя и средней заработной платы по организации в целом не может превышать 8 (ч. 1 подп. 2.1 п. 2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597).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5" w:name="374"/>
      <w:bookmarkEnd w:id="255"/>
      <w:r w:rsidRPr="00140AB6">
        <w:rPr>
          <w:rFonts w:ascii="Times New Roman" w:hAnsi="Times New Roman" w:cs="Times New Roman"/>
          <w:color w:val="000000"/>
          <w:sz w:val="24"/>
          <w:szCs w:val="24"/>
        </w:rPr>
        <w:t>Решение об установлени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 конкретного размера коэффициента принимается собственником имущества или должностным лицом, органом (организацией), уполномоченными заключать контракт, если иное не установлено Президентом Республики Беларусь. При этом в отношении руководителей госоргани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заций и организаций, в уставном фонде которых доля собственности государства составляет более 50%, включая банки, этот коэффициент согласовывается: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6" w:name="375"/>
      <w:bookmarkEnd w:id="256"/>
      <w:r w:rsidRPr="00140AB6">
        <w:rPr>
          <w:rFonts w:ascii="Times New Roman" w:hAnsi="Times New Roman" w:cs="Times New Roman"/>
          <w:color w:val="000000"/>
          <w:sz w:val="24"/>
          <w:szCs w:val="24"/>
        </w:rPr>
        <w:t>до 4 включительно - с органом, осуществляющим владельческий надзор;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7" w:name="376"/>
      <w:bookmarkEnd w:id="25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свыше 4 и до 6 включительно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- с органом, осуществляющим владельческий надзор, и облисполкомом (Минским горисполкомом);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8" w:name="377"/>
      <w:bookmarkEnd w:id="258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свыше 6 и до 8 включительно - с органом, осуществляющим владельческий надзор, и Премьер-министром Республики Беларусь (ч. 2 подп. 2.1 п. 2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597)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9" w:name="378"/>
      <w:bookmarkEnd w:id="259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этой связи вмешательство органов госуправления и иных госорганизаций, включая местные исполнительные и распорядительные органы, в деятельность дочерних компаний холдинга с участием государства по перечисленным выше вопросам не допускается.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0" w:name="379"/>
      <w:bookmarkEnd w:id="26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Указе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коэффициент соотношения средней заработной платы руководителя управляющей компании холдинга с участием государства ставится в зависимость от средней заработной платы работников в целом по холдингу, но по-прежнему в пределах 8 включительно (ч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. 6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1" w:name="381"/>
      <w:bookmarkEnd w:id="261"/>
      <w:r w:rsidRPr="00140AB6">
        <w:rPr>
          <w:rFonts w:ascii="Times New Roman" w:hAnsi="Times New Roman" w:cs="Times New Roman"/>
          <w:color w:val="000000"/>
          <w:sz w:val="24"/>
          <w:szCs w:val="24"/>
        </w:rPr>
        <w:t>При расчете фактического значения коэффициента соотношения: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2" w:name="382"/>
      <w:bookmarkEnd w:id="262"/>
      <w:r w:rsidRPr="00140AB6">
        <w:rPr>
          <w:rFonts w:ascii="Times New Roman" w:hAnsi="Times New Roman" w:cs="Times New Roman"/>
          <w:color w:val="000000"/>
          <w:sz w:val="24"/>
          <w:szCs w:val="24"/>
        </w:rPr>
        <w:t>1) в фонде заработной платы руководителя управляющей компании холдинга с участием государства не учитываются выплаты, предусмотренные подп. 2.2 п. 2 постановлени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597;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3" w:name="383"/>
      <w:bookmarkEnd w:id="263"/>
      <w:r w:rsidRPr="00140AB6">
        <w:rPr>
          <w:rFonts w:ascii="Times New Roman" w:hAnsi="Times New Roman" w:cs="Times New Roman"/>
          <w:color w:val="000000"/>
          <w:sz w:val="24"/>
          <w:szCs w:val="24"/>
        </w:rPr>
        <w:t>2) фонд заработной платы руководителя управляющей компании холдинга с участием государства исключается из фонда заработной платы такой управляющей компании, среднесписочная численность руководителя управляющей компании холдинга с участием го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сударства принимается за единицу (ч. 7 подп. 2.1 п. 2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597);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4" w:name="384"/>
      <w:bookmarkEnd w:id="264"/>
      <w:r w:rsidRPr="00140AB6">
        <w:rPr>
          <w:rFonts w:ascii="Times New Roman" w:hAnsi="Times New Roman" w:cs="Times New Roman"/>
          <w:color w:val="000000"/>
          <w:sz w:val="24"/>
          <w:szCs w:val="24"/>
        </w:rPr>
        <w:t>3) средняя заработная плата работников холдинга определяется исходя из суммарного фонда заработной платы работников управляющей компании холдинга с участием государства и раб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отников дочерних компаний этого холдинга;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5" w:name="385"/>
      <w:bookmarkEnd w:id="265"/>
      <w:r w:rsidRPr="00140AB6">
        <w:rPr>
          <w:rFonts w:ascii="Times New Roman" w:hAnsi="Times New Roman" w:cs="Times New Roman"/>
          <w:color w:val="000000"/>
          <w:sz w:val="24"/>
          <w:szCs w:val="24"/>
        </w:rPr>
        <w:t>4) источниками данных и методологией для расчета коэффициента соотношения могут являться: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6" w:name="386"/>
      <w:bookmarkEnd w:id="266"/>
      <w:r w:rsidRPr="00140AB6">
        <w:rPr>
          <w:rFonts w:ascii="Times New Roman" w:hAnsi="Times New Roman" w:cs="Times New Roman"/>
          <w:color w:val="000000"/>
          <w:sz w:val="24"/>
          <w:szCs w:val="24"/>
        </w:rPr>
        <w:t>- указания по заполнению в формах государственных статистических наблюдений статистических показателей по труду;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7" w:name="387"/>
      <w:bookmarkEnd w:id="267"/>
      <w:r w:rsidRPr="00140AB6">
        <w:rPr>
          <w:rFonts w:ascii="Times New Roman" w:hAnsi="Times New Roman" w:cs="Times New Roman"/>
          <w:color w:val="000000"/>
          <w:sz w:val="24"/>
          <w:szCs w:val="24"/>
        </w:rPr>
        <w:t>- форма государственной статистической отчетности 12-т "Отчет по труду";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8" w:name="388"/>
      <w:bookmarkEnd w:id="268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статистическая форма 2-т (руководители) "Отчет о заработной плате руководителей";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9" w:name="389"/>
      <w:bookmarkEnd w:id="269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ведомственная отчетность, вводимая госорганами (госорганизациями) в соответств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ии с положениями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95;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0" w:name="390"/>
      <w:bookmarkEnd w:id="270"/>
      <w:r w:rsidRPr="00140AB6">
        <w:rPr>
          <w:rFonts w:ascii="Times New Roman" w:hAnsi="Times New Roman" w:cs="Times New Roman"/>
          <w:color w:val="000000"/>
          <w:sz w:val="24"/>
          <w:szCs w:val="24"/>
        </w:rPr>
        <w:t>- ЛПА, учредительные и иные документы, устанавливающие порядок представления необходимой информации для расчета фактического значения коэффициента соотношения;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1" w:name="391"/>
      <w:bookmarkEnd w:id="271"/>
      <w:r w:rsidRPr="00140AB6">
        <w:rPr>
          <w:rFonts w:ascii="Times New Roman" w:hAnsi="Times New Roman" w:cs="Times New Roman"/>
          <w:color w:val="000000"/>
          <w:sz w:val="24"/>
          <w:szCs w:val="24"/>
        </w:rPr>
        <w:t>5) расчет коэффициента соотношения в 2022 г. производит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ся нарастающим итогом начиная с месяца, следующего за месяцем вступления в силу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(с мая 2022 г.);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2" w:name="392"/>
      <w:bookmarkEnd w:id="272"/>
      <w:r w:rsidRPr="00140AB6">
        <w:rPr>
          <w:rFonts w:ascii="Times New Roman" w:hAnsi="Times New Roman" w:cs="Times New Roman"/>
          <w:color w:val="000000"/>
          <w:sz w:val="24"/>
          <w:szCs w:val="24"/>
        </w:rPr>
        <w:t>6) срок представления дочерними компаниями холдинга с участием государства в управляющую компанию такого холдинга необходимых для расчета ко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эффициента соотношения данных не может быть установлен ранее срока их отражения в государственной статистической отчетности, но не позднее последнего числа месяца отчетного периода;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3" w:name="393"/>
      <w:bookmarkEnd w:id="273"/>
      <w:r w:rsidRPr="00140AB6">
        <w:rPr>
          <w:rFonts w:ascii="Times New Roman" w:hAnsi="Times New Roman" w:cs="Times New Roman"/>
          <w:color w:val="000000"/>
          <w:sz w:val="24"/>
          <w:szCs w:val="24"/>
        </w:rPr>
        <w:t>7) в случае если согласно условиям коллективного договора управляющ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ей компании холдинга с участием государства выплата заработной платы приходится на даты, предшествующие поступлению необходимых для расчета коэффициента соотношения данных, то такие положения коллективного договора подлежат корректировке и приведению в соо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тветствие с положениями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385;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4" w:name="599"/>
      <w:bookmarkEnd w:id="274"/>
      <w:r w:rsidRPr="00140AB6">
        <w:rPr>
          <w:rFonts w:ascii="Times New Roman" w:hAnsi="Times New Roman" w:cs="Times New Roman"/>
          <w:color w:val="000000"/>
          <w:sz w:val="24"/>
          <w:szCs w:val="24"/>
        </w:rPr>
        <w:t>8) микро-, малые и средние субъекты хозяйствования, являющиеся участниками холдингов с участием государства, не учитываются в расчете коэффициента соотношения;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5" w:name="600"/>
      <w:bookmarkEnd w:id="275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9) коэффициент соотношения средней заработной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платы заместителя руководителя и главного специалиста коммерческой организации государственной формы собственности или с долей собственности государства в ее имуществе и средней заработной платы по организации в целом не может превышать размера коэффициен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та соотношения, установленного в соответствии с законодательством для руководителя организации (ч. 1 подп. 3.4 п. 3 постановления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1651).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6" w:name="395"/>
      <w:bookmarkEnd w:id="27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Указе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сохраняются требования к количеству представителей государства в органах управления управляющей 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омпании холдинга с участием государства - не более двух и качеству членов советов директоров (наблюдательных советов):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7" w:name="396"/>
      <w:bookmarkEnd w:id="277"/>
      <w:r w:rsidRPr="00140AB6">
        <w:rPr>
          <w:rFonts w:ascii="Times New Roman" w:hAnsi="Times New Roman" w:cs="Times New Roman"/>
          <w:color w:val="000000"/>
          <w:sz w:val="24"/>
          <w:szCs w:val="24"/>
        </w:rPr>
        <w:t>- опыт работы на руководящих должностях не менее трех лет;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8" w:name="397"/>
      <w:bookmarkEnd w:id="278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непогашенной или неснятой судимости за экономические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преступления (ч. 3, 5 п. 8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9" w:name="580"/>
      <w:bookmarkEnd w:id="279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80" w:name="398"/>
      <w:bookmarkEnd w:id="280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Отдельные изъятия для участников холдинга из норм общегражданского законодательства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81" w:name="618"/>
      <w:bookmarkEnd w:id="281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2" w:name="399"/>
      <w:bookmarkEnd w:id="282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целях создания условий хозяйствования для участников холдинга из общего запрета, установленного ГК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, делается ряд исключений. В пределах одного холдинга его участникам, являющимся коммерческими организациями, предоставляется право на (ч. 1 п. 9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3" w:name="400"/>
      <w:bookmarkEnd w:id="283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передачу в безвозмездное пользование имущества собственнику имущества этой организации,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ее учредителю, участнику.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4" w:name="401"/>
      <w:bookmarkEnd w:id="284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85" w:name="582"/>
      <w:bookmarkEnd w:id="285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86" w:name="403"/>
      <w:bookmarkEnd w:id="286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Коммерческая организация не вправе передавать имущество в безвозмездное пользование лицу, являющемуся собственником имущества этой организации, ее 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учредите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лем, участником, руководителем, членом ее органов управления или контроля (п. 2 ст. 644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7" w:name="583"/>
      <w:bookmarkEnd w:id="287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8" w:name="404"/>
      <w:bookmarkEnd w:id="288"/>
      <w:r w:rsidRPr="00140AB6">
        <w:rPr>
          <w:rFonts w:ascii="Times New Roman" w:hAnsi="Times New Roman" w:cs="Times New Roman"/>
          <w:color w:val="000000"/>
          <w:sz w:val="24"/>
          <w:szCs w:val="24"/>
        </w:rPr>
        <w:t>Если в холдинге управляющая компания по отношению к дочерней компании выступает собственником имущества, учредителем или участником, то такое огранич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ение делает невозможной передачу имущества в безвозмездное пользование от дочерней компании к ее управляющей компании.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9" w:name="405"/>
      <w:bookmarkEnd w:id="289"/>
      <w:r w:rsidRPr="00140AB6">
        <w:rPr>
          <w:rFonts w:ascii="Times New Roman" w:hAnsi="Times New Roman" w:cs="Times New Roman"/>
          <w:color w:val="000000"/>
          <w:sz w:val="24"/>
          <w:szCs w:val="24"/>
        </w:rPr>
        <w:t>Если отношения между управляющей компанией и дочерними строятся на основе подчинения (зависимости без статуса учредителя), дочерняя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компания, руководствуясь нормами законодательства, может беспрепятственно реализовать свое право передачи имущества в безвозмездное пользование иным участникам;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0" w:name="406"/>
      <w:bookmarkEnd w:id="290"/>
      <w:r w:rsidRPr="00140AB6">
        <w:rPr>
          <w:rFonts w:ascii="Times New Roman" w:hAnsi="Times New Roman" w:cs="Times New Roman"/>
          <w:color w:val="000000"/>
          <w:sz w:val="24"/>
          <w:szCs w:val="24"/>
        </w:rPr>
        <w:t>- использование объектов интеллектуальной собственности, принадлежащих иным участникам х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олдинга, на безвозмездной основе.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1" w:name="585"/>
      <w:bookmarkEnd w:id="291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140AB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92" w:name="586"/>
      <w:bookmarkEnd w:id="292"/>
      <w:r w:rsidRPr="00140AB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80975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C2" w:rsidRPr="00140A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Обратите внимание!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293" w:name="408"/>
      <w:bookmarkEnd w:id="293"/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допускается безвозмездное предоставление права использования объекта интеллектуальной собственности в отношениях между коммерческими организациями, если иное не установлено законодательными ак</w:t>
      </w:r>
      <w:r w:rsidRPr="00140A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тами (ч. 2 п. 1 ст. 985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4" w:name="587"/>
      <w:bookmarkEnd w:id="294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5" w:name="409"/>
      <w:bookmarkEnd w:id="295"/>
      <w:r w:rsidRPr="00140AB6">
        <w:rPr>
          <w:rFonts w:ascii="Times New Roman" w:hAnsi="Times New Roman" w:cs="Times New Roman"/>
          <w:color w:val="000000"/>
          <w:sz w:val="24"/>
          <w:szCs w:val="24"/>
        </w:rPr>
        <w:t>Перечень объектов интеллектуальной собственности установлен ст. 980 ГК.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6" w:name="410"/>
      <w:bookmarkEnd w:id="296"/>
      <w:r w:rsidRPr="00140AB6">
        <w:rPr>
          <w:rFonts w:ascii="Times New Roman" w:hAnsi="Times New Roman" w:cs="Times New Roman"/>
          <w:color w:val="000000"/>
          <w:sz w:val="24"/>
          <w:szCs w:val="24"/>
        </w:rPr>
        <w:t>С точки зрения холдинговых отношений наибольший интерес представляют результаты интеллектуальной деятельности в виде изобретений, полез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ных моделей, промышленных образцов и секретов производства (ноу-хау), а из числа средств индивидуализации участников гражданского оборота, товаров, работ или услуг это фирменные наименования, товарные знаки и знаки обслуживания.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7" w:name="411"/>
      <w:bookmarkEnd w:id="297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холдинге возможно 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оздание кооперационных отношений по замкнутому производственно-технологическому циклу: от научно-технических центров, являющихся разработчиками объектов интеллектуальной собственности (изобретения, полезные модели, промышленные образцы, секреты производств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а (ноу-хау)), до производств (цехов) готовой продукции и сервисно-сбытовых центров, выступающих "потребителями" результатов интеллектуальной деятельности на всех стадиях производства и реализации готовой продукции участниками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8" w:name="412"/>
      <w:bookmarkEnd w:id="298"/>
      <w:r w:rsidRPr="00140AB6">
        <w:rPr>
          <w:rFonts w:ascii="Times New Roman" w:hAnsi="Times New Roman" w:cs="Times New Roman"/>
          <w:color w:val="000000"/>
          <w:sz w:val="24"/>
          <w:szCs w:val="24"/>
        </w:rPr>
        <w:t>Средства индив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идуализации участников гражданского оборота, товаров, работ или услуг (например, фирменные наименования, товарные знаки и знаки обслуживания и т.д.) в рамках холдинга создаются и используются по принципу "один на всех".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9" w:name="413"/>
      <w:bookmarkEnd w:id="299"/>
      <w:r w:rsidRPr="00140AB6">
        <w:rPr>
          <w:rFonts w:ascii="Times New Roman" w:hAnsi="Times New Roman" w:cs="Times New Roman"/>
          <w:color w:val="000000"/>
          <w:sz w:val="24"/>
          <w:szCs w:val="24"/>
        </w:rPr>
        <w:t>На лиц управляющей компании хо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лдинга с участием государства, состоящих в трудовых отношениях с нанимателем на основании заключенных трудовых договоров и являющихся государственными должностными лицами в соответствии с Законом о борьбе с коррупцией, в отношении дочерних компаний этого х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олдинга не распространяются ограничения, установленные в абз. 6 ч. 1, ч. 2 ст. 17 Закона о борьбе с коррупцией.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0" w:name="418"/>
      <w:bookmarkEnd w:id="300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этой связи лицам управляющей компании холдинга с участием государства, состоящим в трудовых отношениях с нанимателем на основании заключ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енных трудовых договоров и являющимся государственными должностными лицами, предоставлено право выполнять работу по совместительству (ч. 1 ст. 343 ТК) на основании трудового договора (контракта) в других юрлицах, являющихся участниками одного холдинга, в 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ом числе на руководящих должностях, при наличии согласия собственника имущества этих участников,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общего собрания участников (совета директоров (наблюдательного совета)) (ч. 2, 3 п. 9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1" w:name="422"/>
      <w:bookmarkEnd w:id="301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Такие трудовые отношения регулируются общими нормами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трудового права (ст. 26 ТК), но отличаются отдельными характерными признаками, присущими работе по совместительству (п. 3 ч. 2 ст. 289, ст. 343, 345, 347 ТК).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2" w:name="423"/>
      <w:bookmarkEnd w:id="30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в целях повышения эффективности использования имущества в холдингах с участием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государства путем вовлечения его во внутрихолдинговый оборот, другими словами, использования такого имущества иным участником этого холдинга, приложение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150 дополнено нормой, позволяющей передавать в безвозмездное пользование недвижимое имущество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, находящееся в госсобственности, а также в собственности хозобществ, в уставных фондах которых более 50% акций (долей) находится в собственности Республики Беларусь и (или) ее административно-территориальных единиц, одним участником холдинга другому участ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нику холдинга в его пределах.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3" w:name="425"/>
      <w:bookmarkEnd w:id="303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Указ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150 регулирует исключительно передачу имущества в безвозмездное пользование, равно как и изъятие на п. 2 ст. 644 ГК, установленное в Указе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(абз. 2 ч. 1 п. 9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 Тогда как безвозмездная передача уре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гулирована отдельным приложением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385. Другими словами, безвозмездное пользование - это "бесплатная аренда", а безвозмездная передача - это "бесплатная продажа" (отчуждение).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4" w:name="427"/>
      <w:bookmarkEnd w:id="30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Главой государства могут устанавливаться иные условия создания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 деятельности холдингов (п. 13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5" w:name="428"/>
      <w:bookmarkEnd w:id="305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п. 14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собраны термины, используемые для целей применения положений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6" w:name="429"/>
      <w:bookmarkEnd w:id="30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установлен общий порядок (п. 15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7" w:name="430"/>
      <w:bookmarkEnd w:id="307"/>
      <w:r w:rsidRPr="00140AB6">
        <w:rPr>
          <w:rFonts w:ascii="Times New Roman" w:hAnsi="Times New Roman" w:cs="Times New Roman"/>
          <w:color w:val="000000"/>
          <w:sz w:val="24"/>
          <w:szCs w:val="24"/>
        </w:rPr>
        <w:t>- создания централизованного фонда холди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нга и распоряжения его денежными средствами;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8" w:name="431"/>
      <w:bookmarkEnd w:id="308"/>
      <w:r w:rsidRPr="00140AB6">
        <w:rPr>
          <w:rFonts w:ascii="Times New Roman" w:hAnsi="Times New Roman" w:cs="Times New Roman"/>
          <w:color w:val="000000"/>
          <w:sz w:val="24"/>
          <w:szCs w:val="24"/>
        </w:rPr>
        <w:t>- безвозмездной передачи отдельных объектов гражданских прав в пределах одного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9" w:name="590"/>
      <w:bookmarkEnd w:id="309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10" w:name="432"/>
      <w:bookmarkEnd w:id="310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Общие положения о централизованном фонде холдинга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11" w:name="619"/>
      <w:bookmarkEnd w:id="311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2" w:name="433"/>
      <w:bookmarkEnd w:id="31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управляющей компании 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ли собственнику (физлицу без образования управляющей компании холдинга) предоставлено право создавать централизованный фонд.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3" w:name="435"/>
      <w:bookmarkEnd w:id="313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Указ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устанавливает общие положения, тогда как порядок и условия закрепляются: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4" w:name="437"/>
      <w:bookmarkEnd w:id="314"/>
      <w:r w:rsidRPr="00140AB6">
        <w:rPr>
          <w:rFonts w:ascii="Times New Roman" w:hAnsi="Times New Roman" w:cs="Times New Roman"/>
          <w:color w:val="000000"/>
          <w:sz w:val="24"/>
          <w:szCs w:val="24"/>
        </w:rPr>
        <w:t>- в учредительных документах;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5" w:name="438"/>
      <w:bookmarkEnd w:id="315"/>
      <w:r w:rsidRPr="00140AB6">
        <w:rPr>
          <w:rFonts w:ascii="Times New Roman" w:hAnsi="Times New Roman" w:cs="Times New Roman"/>
          <w:color w:val="000000"/>
          <w:sz w:val="24"/>
          <w:szCs w:val="24"/>
        </w:rPr>
        <w:t>- договорах доверительного управления либо иных договорах;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6" w:name="439"/>
      <w:bookmarkEnd w:id="31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решениях уполномоченных органов управления участников холдинга (ч. 1 п. 1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7" w:name="440"/>
      <w:bookmarkEnd w:id="317"/>
      <w:r w:rsidRPr="00140AB6">
        <w:rPr>
          <w:rFonts w:ascii="Times New Roman" w:hAnsi="Times New Roman" w:cs="Times New Roman"/>
          <w:color w:val="000000"/>
          <w:sz w:val="24"/>
          <w:szCs w:val="24"/>
        </w:rPr>
        <w:t>Кроме того, наряду с нормами законодательства общесистемного характера правовым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полем для выстраивания внутрихолдинговых отношений являются также и ЛПА, инициированные как непосредственно управляющей компанией холдинга, так и любой из дочерних.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8" w:name="442"/>
      <w:bookmarkEnd w:id="318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учетом специфики национальных холдинговых объединений (отсутствие статуса юрлица)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целесообразным видится создание ЛПА в форме положений, обязательных для всех участников, но не в силу публичного принуждения, а исходя из самой сущности корпоративной формы организации бизнеса. Легитимность этих внутренних документов должна обеспечиваться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их утверждением полномочными органами управления каждого участника холдинга (в хозобществах общими собраниями участников или советами директоров (наблюдательными советами)). При этом управляющая компания в силу ее преобладающего влияния в органах управлени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я дочерних компаний правомочна определить соответствующие решения, согласующиеся с проводимой ею в холдинге политикой.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9" w:name="444"/>
      <w:bookmarkEnd w:id="319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Управляющая компания холдинга не может делегировать дочерней компании право на создание централизованного фонда и распоряжение его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денежными средствами (ч. 4 п. 1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0" w:name="445"/>
      <w:bookmarkEnd w:id="320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целях формирования централизованного фонда управляющая компания холдинга (собственник) открывает специальный счет (ст. 207-1 БК) в банке в белорусских рублях (ч. 3 п. 1 приложения 1 к Ука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1" w:name="448"/>
      <w:bookmarkEnd w:id="321"/>
      <w:r w:rsidRPr="00140AB6">
        <w:rPr>
          <w:rFonts w:ascii="Times New Roman" w:hAnsi="Times New Roman" w:cs="Times New Roman"/>
          <w:color w:val="000000"/>
          <w:sz w:val="24"/>
          <w:szCs w:val="24"/>
        </w:rPr>
        <w:t>Особый режим функционирования специальных счетов связан с тем, что они открываются банками независимо от наличия решений (постановлений) о приостановлении операций по счетам участников холдинга, а также постановлений (определений) о наложе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нии ареста на денежные средства, находящиеся на указанных счетах (ч. 1 п. 3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2" w:name="450"/>
      <w:bookmarkEnd w:id="322"/>
      <w:r w:rsidRPr="00140AB6">
        <w:rPr>
          <w:rFonts w:ascii="Times New Roman" w:hAnsi="Times New Roman" w:cs="Times New Roman"/>
          <w:color w:val="000000"/>
          <w:sz w:val="24"/>
          <w:szCs w:val="24"/>
        </w:rPr>
        <w:t>Установлен ряд случаев, когда денежные средства, зачисленные на специальные счета участников холдинга, списываются в бесспорном порядке (п. 5 - 7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3" w:name="455"/>
      <w:bookmarkEnd w:id="323"/>
      <w:r w:rsidRPr="00140AB6">
        <w:rPr>
          <w:rFonts w:ascii="Times New Roman" w:hAnsi="Times New Roman" w:cs="Times New Roman"/>
          <w:color w:val="000000"/>
          <w:sz w:val="24"/>
          <w:szCs w:val="24"/>
        </w:rPr>
        <w:t>На специальный счет зачисляются денежные средства участников холдинга с их текущих (расчетных) банковских счетов после осуществления платежей, которые производятся вне очереди и в первую очередь, так как источником форми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рования централизованного фонда являются отчисления от чистой прибыли участников холдинга (ч. 2 п. 1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подп. 14.4 п. 14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4" w:name="458"/>
      <w:bookmarkEnd w:id="324"/>
      <w:r w:rsidRPr="00140AB6">
        <w:rPr>
          <w:rFonts w:ascii="Times New Roman" w:hAnsi="Times New Roman" w:cs="Times New Roman"/>
          <w:color w:val="000000"/>
          <w:sz w:val="24"/>
          <w:szCs w:val="24"/>
        </w:rPr>
        <w:t>В свою очередь, для получения денежных средств из централизованного фонда дочерняя компани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я, в отношении которой принято соответствующее решение, также открывает в своем банке специальный счет в белорусских рублях, куда управляющая компания холдинга перечисляет денежные средства.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5" w:name="460"/>
      <w:bookmarkEnd w:id="325"/>
      <w:r w:rsidRPr="00140AB6">
        <w:rPr>
          <w:rFonts w:ascii="Times New Roman" w:hAnsi="Times New Roman" w:cs="Times New Roman"/>
          <w:color w:val="000000"/>
          <w:sz w:val="24"/>
          <w:szCs w:val="24"/>
        </w:rPr>
        <w:t>Участник холдинга вправе открыть только один специальный сч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ет в целях реализации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(п. 2, ч. 2 п. 3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6" w:name="462"/>
      <w:bookmarkEnd w:id="326"/>
      <w:r w:rsidRPr="00140AB6">
        <w:rPr>
          <w:rFonts w:ascii="Times New Roman" w:hAnsi="Times New Roman" w:cs="Times New Roman"/>
          <w:color w:val="000000"/>
          <w:sz w:val="24"/>
          <w:szCs w:val="24"/>
        </w:rPr>
        <w:t>Если денежные средства из централизованного фонда направляются управляющей компании холдинга, то она использует специальный счет, на котором аккумулируются денежные средс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тва всех участников холдинга, без открытия отдельного специального счета.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7" w:name="463"/>
      <w:bookmarkEnd w:id="32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из централизованного фонда холдинга имеют исключительно целевой характер.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существенно расширился перечень целей, на которые могут направляться де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нежные средства из централизованного фонда (п. 4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 Перечень целей, на которые могут быть направлены денежные средства из централизованного фонда, является закрытым.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8" w:name="474"/>
      <w:bookmarkEnd w:id="328"/>
      <w:r w:rsidRPr="00140AB6">
        <w:rPr>
          <w:rFonts w:ascii="Times New Roman" w:hAnsi="Times New Roman" w:cs="Times New Roman"/>
          <w:color w:val="000000"/>
          <w:sz w:val="24"/>
          <w:szCs w:val="24"/>
        </w:rPr>
        <w:t>Денежные средства из централизованного фонда в качестве з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аемных могут быть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выданы только дочерним компаниям холдинга. Управляющая компания холдинга не может сама себе выдать заемные средства, так как заем оформляется договором между двумя сторонами (п. 1 ст. 760 ГК).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9" w:name="476"/>
      <w:bookmarkEnd w:id="329"/>
      <w:r w:rsidRPr="00140AB6">
        <w:rPr>
          <w:rFonts w:ascii="Times New Roman" w:hAnsi="Times New Roman" w:cs="Times New Roman"/>
          <w:color w:val="000000"/>
          <w:sz w:val="24"/>
          <w:szCs w:val="24"/>
        </w:rPr>
        <w:t>Кроме того, для управляющих компаний хо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лдингов с участием государства обязательным условием выдачи такого займа своим дочерним компаниям является соблюдение целей, предусмотренных в подп. 4.1 п. 4 Положения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296 (ч. 2 п. 4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0" w:name="478"/>
      <w:bookmarkEnd w:id="33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На цели, обозначенные в абз. 2 - 10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ч. 1 п. 4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денежные средства из централизованного фонда холдинга направляются на безвозвратных и беспроцентных условиях в соответствии с решением уполномоченного органа управления управляющей компании холдинга. Тогда как предусмо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тренная в абз. 11 ч. 1 п. 4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цель - предоставление заемных средств - не исключает направление денежных средств из централизованного фонда холдинга дочерним компаниям на возвратных и платных (процентных) условиях.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1" w:name="480"/>
      <w:bookmarkEnd w:id="331"/>
      <w:r w:rsidRPr="00140AB6">
        <w:rPr>
          <w:rFonts w:ascii="Times New Roman" w:hAnsi="Times New Roman" w:cs="Times New Roman"/>
          <w:color w:val="000000"/>
          <w:sz w:val="24"/>
          <w:szCs w:val="24"/>
        </w:rPr>
        <w:t>Таким образ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ом, кроме чистой прибыли на специальный счет управляющей компании холдинга в централизованный фонд могут поступить денежные средства: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2" w:name="481"/>
      <w:bookmarkEnd w:id="332"/>
      <w:r w:rsidRPr="00140AB6">
        <w:rPr>
          <w:rFonts w:ascii="Times New Roman" w:hAnsi="Times New Roman" w:cs="Times New Roman"/>
          <w:color w:val="000000"/>
          <w:sz w:val="24"/>
          <w:szCs w:val="24"/>
        </w:rPr>
        <w:t>- в счет возврата суммы займа, предоставленного дочерней компании;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3" w:name="482"/>
      <w:bookmarkEnd w:id="333"/>
      <w:r w:rsidRPr="00140AB6">
        <w:rPr>
          <w:rFonts w:ascii="Times New Roman" w:hAnsi="Times New Roman" w:cs="Times New Roman"/>
          <w:color w:val="000000"/>
          <w:sz w:val="24"/>
          <w:szCs w:val="24"/>
        </w:rPr>
        <w:t>- доходы в виде процентов от дочерней компа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нии по ранее выданному ей займу;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4" w:name="483"/>
      <w:bookmarkEnd w:id="33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расходы на приобретение и поставку машин и оборудования (п. 11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5" w:name="485"/>
      <w:bookmarkEnd w:id="335"/>
      <w:r w:rsidRPr="00140AB6">
        <w:rPr>
          <w:rFonts w:ascii="Times New Roman" w:hAnsi="Times New Roman" w:cs="Times New Roman"/>
          <w:color w:val="000000"/>
          <w:sz w:val="24"/>
          <w:szCs w:val="24"/>
        </w:rPr>
        <w:t>Не допускается перечисление выручки от реализации товаров (работ, услуг) и иных денежных средств на специальные счета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, кроме денежных средств, определенных в приложении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(ч. 4 п. 3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6" w:name="486"/>
      <w:bookmarkEnd w:id="33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движения денежных средств из (в) централизованного фонда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предусмотрены преференциальные режимы: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7" w:name="487"/>
      <w:bookmarkEnd w:id="337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не включаются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внереализационных доходов при исчислении налога на прибыль и единого налога для производителей сельскохозяйственной продукции;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8" w:name="488"/>
      <w:bookmarkEnd w:id="338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не признаются объектом налогообложения подоходным налогом с физлиц;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9" w:name="489"/>
      <w:bookmarkEnd w:id="339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не учитываются при налогообложении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 передающей стороны (п. 8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0" w:name="490"/>
      <w:bookmarkEnd w:id="34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За нецелевое использование денежных средств из централизованного фонда участниками холдинга предусмотрена соответствующая ответственность (п. 10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1" w:name="494"/>
      <w:bookmarkEnd w:id="341"/>
      <w:r w:rsidRPr="00140AB6">
        <w:rPr>
          <w:rFonts w:ascii="Times New Roman" w:hAnsi="Times New Roman" w:cs="Times New Roman"/>
          <w:color w:val="000000"/>
          <w:sz w:val="24"/>
          <w:szCs w:val="24"/>
        </w:rPr>
        <w:t>Все полученные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участниками холдинга денежные средства из централизованного фонда должны быть использованы ими в течение двух лет с даты их получения. Неиспользованные суммы включаются в состав внереализационных доходов при исчислении налога на прибыль и единого налога 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ля производителей сельскохозяйственной продукции с даты истечения двухлетнего периода, равно как и при прекращении деятельности холдинга (исключении дочерней компании из состава его участников) (п. 12, 13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2" w:name="591"/>
      <w:bookmarkEnd w:id="34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При прекращении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холдинга (исключении дочерней компании из состава его участников) участники холдинга (дочерняя компания, исключаемая из состава его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участников) в течение 10 рабочих дней с даты, указанной в соответствующем решении (со дня возникновения обстоят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ельств, повлекших несоответствие включения в состав участников холдинга дочерней компании условиям создания холдинга, установленным в п. 1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385), обязаны представить в банки заявления о закрытии специальных счетов.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3" w:name="501"/>
      <w:bookmarkEnd w:id="343"/>
      <w:r w:rsidRPr="00140AB6">
        <w:rPr>
          <w:rFonts w:ascii="Times New Roman" w:hAnsi="Times New Roman" w:cs="Times New Roman"/>
          <w:color w:val="000000"/>
          <w:sz w:val="24"/>
          <w:szCs w:val="24"/>
        </w:rPr>
        <w:t>Остатки неиспользованных де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нежных средств, образовавшиеся на дату закрытия специальных счетов, перечисляются на текущие (расчетные) банковские счета участников холдинга (п. 14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4" w:name="502"/>
      <w:bookmarkEnd w:id="344"/>
      <w:r w:rsidRPr="00140AB6">
        <w:rPr>
          <w:rFonts w:ascii="Times New Roman" w:hAnsi="Times New Roman" w:cs="Times New Roman"/>
          <w:color w:val="000000"/>
          <w:sz w:val="24"/>
          <w:szCs w:val="24"/>
        </w:rPr>
        <w:t>Руководитель управляющей компании холдинга, дочерних компаний, а также 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обственник (физлицо без образования управляющей компании холдинга) несут персональную ответственность за (п. 16 приложения 1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5" w:name="503"/>
      <w:bookmarkEnd w:id="345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нарушение установленного порядка создания и распоряжения денежными средствами централизованного фонда;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6" w:name="504"/>
      <w:bookmarkEnd w:id="346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несоблюдение порядка зачисления денежных средств на специальные счета;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7" w:name="505"/>
      <w:bookmarkEnd w:id="347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нецелевое использование таких денежных средств;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8" w:name="506"/>
      <w:bookmarkEnd w:id="348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несвоевременное направление в банк заявлений о закрытии специальных счетов;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9" w:name="507"/>
      <w:bookmarkEnd w:id="349"/>
      <w:r w:rsidRPr="00140AB6">
        <w:rPr>
          <w:rFonts w:ascii="Times New Roman" w:hAnsi="Times New Roman" w:cs="Times New Roman"/>
          <w:color w:val="000000"/>
          <w:sz w:val="24"/>
          <w:szCs w:val="24"/>
        </w:rPr>
        <w:t>- несоблюдение любых иных требовани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й и условий формирования, распределения и использования денежных средств из централизованного фонда.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0" w:name="620"/>
      <w:bookmarkEnd w:id="350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51" w:name="508"/>
      <w:bookmarkEnd w:id="351"/>
      <w:r w:rsidRPr="0014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Общие положения о безвозмездной передаче отдельных объектов гражданских прав в пределах одного холдинга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52" w:name="621"/>
      <w:bookmarkEnd w:id="352"/>
      <w:r w:rsidRPr="00140AB6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3" w:name="509"/>
      <w:bookmarkEnd w:id="353"/>
      <w:r w:rsidRPr="00140AB6">
        <w:rPr>
          <w:rFonts w:ascii="Times New Roman" w:hAnsi="Times New Roman" w:cs="Times New Roman"/>
          <w:color w:val="000000"/>
          <w:sz w:val="24"/>
          <w:szCs w:val="24"/>
        </w:rPr>
        <w:t>Управляющая компания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(собственник) либо дочерние компании по согласованию с управляющей компанией (собственником) имеют право принимать решение о безвозмездной передаче имущества, которая должна отвечать ряду критериев (ч. 1 п. 1 приложения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4" w:name="510"/>
      <w:bookmarkEnd w:id="354"/>
      <w:r w:rsidRPr="00140AB6">
        <w:rPr>
          <w:rFonts w:ascii="Times New Roman" w:hAnsi="Times New Roman" w:cs="Times New Roman"/>
          <w:color w:val="000000"/>
          <w:sz w:val="24"/>
          <w:szCs w:val="24"/>
        </w:rPr>
        <w:t>1. Передава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емое имущество должно соответствовать установленным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категориям объектов гражданских прав (ч. 2 п. 1 приложения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 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5" w:name="517"/>
      <w:bookmarkEnd w:id="355"/>
      <w:r w:rsidRPr="00140AB6">
        <w:rPr>
          <w:rFonts w:ascii="Times New Roman" w:hAnsi="Times New Roman" w:cs="Times New Roman"/>
          <w:color w:val="000000"/>
          <w:sz w:val="24"/>
          <w:szCs w:val="24"/>
        </w:rPr>
        <w:t>Вещи, включая деньги и ценные бумаги, иное имущество (в том числе товары, продукция) передаются в собственн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ость, закрепляются на праве хозяйственного ведения или оперативного управления, т.е. безвозмездно и безвозвратно.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6" w:name="518"/>
      <w:bookmarkEnd w:id="356"/>
      <w:r w:rsidRPr="00140AB6">
        <w:rPr>
          <w:rFonts w:ascii="Times New Roman" w:hAnsi="Times New Roman" w:cs="Times New Roman"/>
          <w:color w:val="000000"/>
          <w:sz w:val="24"/>
          <w:szCs w:val="24"/>
        </w:rPr>
        <w:t>Выполненные работы, оказанные услуги, результаты незавершенных работ, услуг, а также имущественные права на объекты интеллектуальной соб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ственности могут быть переданы (предоставлены) по договору с учетом особенностей законодательства, в том числе в сфере интеллектуальной собственности (ч. 3 п. 1 приложения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7" w:name="520"/>
      <w:bookmarkEnd w:id="357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Указ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предоставляет право участникам холдингов безвозме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здно передавать между собой любые объекты гражданских прав (соответствующие установленным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категориям объектов гражданских прав), независимо от источника и момента (даты) их приобретения (до вхождения в холдинг или уже находясь в нем).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8" w:name="521"/>
      <w:bookmarkEnd w:id="358"/>
      <w:r w:rsidRPr="00140AB6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 этом установленный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300 порядок передачи денежных средств, товаров (имущества), имущественных прав, включая исключительные права на объекты интеллектуальной собственности, работ, услуг не распространяется на участников холдинга (абз. 8 ч. 3 п. 1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300). Другими словами, в пределах одного холдинга один его участник не может оказать безвозмездную (спонсорскую) помощь другому его участнику.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9" w:name="522"/>
      <w:bookmarkEnd w:id="359"/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этой связи процедурные основы совершения гражданско-правовых сделок между самостоятельными субъек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тами хозяйствования (а участники холдинга именно таковыми являются) закреплены гражданским законодательством и носят универсальный характер. При безвозмездной передаче объектов гражданских прав (в том числе денежных средств) между участниками холдинга, по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сути, совершается гражданско-правовая сделка, особенность которой заключается в том, что такая сделка возможна лишь между указанными субъектами в соответствии с требованиями и условиями, установленными Указом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0" w:name="523"/>
      <w:bookmarkEnd w:id="360"/>
      <w:r w:rsidRPr="00140AB6">
        <w:rPr>
          <w:rFonts w:ascii="Times New Roman" w:hAnsi="Times New Roman" w:cs="Times New Roman"/>
          <w:color w:val="000000"/>
          <w:sz w:val="24"/>
          <w:szCs w:val="24"/>
        </w:rPr>
        <w:t>Согласно требованиям ГК сделки меж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ду юрлицами должны совершаться в простой письменной форме путем составления документа, выражающего их содержание и подписанного лицом или лицами, совершающими сделку, либо должным образом уполномоченными ими лицами (п. 1 ст. 161, ч. 1 ст. 162 ГК). Сделки п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 безвозмездной передаче объектов гражданских прав между участниками холдинга являются дву- или многосторонними и, как правило, согласованными, из чего вытекает их договорная сущность.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1" w:name="524"/>
      <w:bookmarkEnd w:id="361"/>
      <w:r w:rsidRPr="00140AB6">
        <w:rPr>
          <w:rFonts w:ascii="Times New Roman" w:hAnsi="Times New Roman" w:cs="Times New Roman"/>
          <w:color w:val="000000"/>
          <w:sz w:val="24"/>
          <w:szCs w:val="24"/>
        </w:rPr>
        <w:t>Вместе с тем соответствующий договор является непоименованным вид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ом договора в белорусском праве. В этой связи договор безвозмездной передачи имущества между участниками холдинга должен соответствовать общим гражданско-правовым требованиям к договорам (гл. 9 ГК), а также включать индивидуальные условия и обязанности, во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зникающие или вытекающие вследствие такой передачи. Другими словами, руководствоваться следует ст. 391 ГК, т.е. при совершении данной сделки самостоятельно определить ее условия в соответствии с общими требованиями к сделкам, определенным законодательством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, а также с учетом особенностей конкретной сделки.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2" w:name="525"/>
      <w:bookmarkEnd w:id="362"/>
      <w:r w:rsidRPr="00140AB6">
        <w:rPr>
          <w:rFonts w:ascii="Times New Roman" w:hAnsi="Times New Roman" w:cs="Times New Roman"/>
          <w:color w:val="000000"/>
          <w:sz w:val="24"/>
          <w:szCs w:val="24"/>
        </w:rPr>
        <w:t>Кроме соблюдения требований ГК (в части общих требований к сделкам) необходимо руководствоваться Законом о хозобществах (в части требований к совершению хозобществами отдельных видов сделок и, соотве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тственно, уровню принятия решения в зависимости от компетенций), а также учредительными документами участников холдинга, договорами доверительного управления либо иными договорами, где должны быть определены процедурные вопросы, не урегулированные в НПА, 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совершения таких сделок применительно к специфике конкретного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3" w:name="526"/>
      <w:bookmarkEnd w:id="363"/>
      <w:r w:rsidRPr="00140AB6">
        <w:rPr>
          <w:rFonts w:ascii="Times New Roman" w:hAnsi="Times New Roman" w:cs="Times New Roman"/>
          <w:color w:val="000000"/>
          <w:sz w:val="24"/>
          <w:szCs w:val="24"/>
        </w:rPr>
        <w:t>2. Отсутствие запрета на отчуждение таких объектов в соответствии с законодательством об исполнительном производстве, иных предусмотренных законодательными актами ог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раничений по распоряжению объектами.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4" w:name="592"/>
      <w:bookmarkEnd w:id="364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Безвозмездная передача объектов между участниками холдинга в соответствии с приложением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и отчуждение участником холдинга объектов иной организации, не являющейся участником этого холдинга, согласно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п. 7 приложения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осуществляются в соответствии с требованиями п. 2 ст. 327 ГК, ст. 25 Закона об ипотеке в случае нахождения таких объектов в залоге (ипотеке) (п. 8 приложения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5" w:name="534"/>
      <w:bookmarkEnd w:id="365"/>
      <w:r w:rsidRPr="00140AB6">
        <w:rPr>
          <w:rFonts w:ascii="Times New Roman" w:hAnsi="Times New Roman" w:cs="Times New Roman"/>
          <w:color w:val="000000"/>
          <w:sz w:val="24"/>
          <w:szCs w:val="24"/>
        </w:rPr>
        <w:t>3. Безвозмездная передача объектов осущес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твляется в пределах одного холдинга.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6" w:name="536"/>
      <w:bookmarkEnd w:id="366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холдинга, безвозмездно получивший от другого участника объект гражданских прав, отвечающий требованиям и условиям Указа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385, может отчуждать такой объект любой иной организации, не являющейся участником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данного холдинга, но не ранее чем через 24 месяца использования такого объекта при производстве и (или) реализации продукции, выполнении работ, оказании услуг (п. 7 приложения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7" w:name="537"/>
      <w:bookmarkEnd w:id="367"/>
      <w:r w:rsidRPr="00140AB6">
        <w:rPr>
          <w:rFonts w:ascii="Times New Roman" w:hAnsi="Times New Roman" w:cs="Times New Roman"/>
          <w:color w:val="000000"/>
          <w:sz w:val="24"/>
          <w:szCs w:val="24"/>
        </w:rPr>
        <w:t>4. Принимающая сторона - участник холдинга - резидент Р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еспублики Беларусь.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Указание на национальное резидентство дает право таким участникам холдинга на определенный набор налоговых льгот преференциального характера.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8" w:name="538"/>
      <w:bookmarkEnd w:id="368"/>
      <w:r w:rsidRPr="00140AB6">
        <w:rPr>
          <w:rFonts w:ascii="Times New Roman" w:hAnsi="Times New Roman" w:cs="Times New Roman"/>
          <w:color w:val="000000"/>
          <w:sz w:val="24"/>
          <w:szCs w:val="24"/>
        </w:rPr>
        <w:t>Объекты, безвозмездно полученные участником холдинга, не включаются в состав внереализац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ионных доходов при исчислении налога на прибыль и единого налога для производителей сельскохозяйственной продукции при одновременном соблюдении условий, указанных в ч. 1 п. 2 приложения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9" w:name="544"/>
      <w:bookmarkEnd w:id="369"/>
      <w:r w:rsidRPr="00140AB6">
        <w:rPr>
          <w:rFonts w:ascii="Times New Roman" w:hAnsi="Times New Roman" w:cs="Times New Roman"/>
          <w:color w:val="000000"/>
          <w:sz w:val="24"/>
          <w:szCs w:val="24"/>
        </w:rPr>
        <w:t>Обороты по безвозмездной передаче на территории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между участниками холдинга объектов, относимых к основным средствам, не признаются объектом налогообложения НДС при условии: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0" w:name="545"/>
      <w:bookmarkEnd w:id="370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- их учета у передающей стороны в бухгалтерском учете в качестве объектов основных средств (для машин и 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оборудования - у принимающей стороны);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1" w:name="546"/>
      <w:bookmarkEnd w:id="371"/>
      <w:r w:rsidRPr="00140AB6">
        <w:rPr>
          <w:rFonts w:ascii="Times New Roman" w:hAnsi="Times New Roman" w:cs="Times New Roman"/>
          <w:color w:val="000000"/>
          <w:sz w:val="24"/>
          <w:szCs w:val="24"/>
        </w:rPr>
        <w:t>- их использования принимающей стороной при производстве и (или) реализации продукции, выполнении работ, оказании услуг не менее шести месяцев с даты принятия таких объектов к бухгалтерскому учету (п. 3 приложен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ия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385).</w:t>
      </w:r>
    </w:p>
    <w:p w:rsidR="00000000" w:rsidRPr="00140AB6" w:rsidRDefault="000006C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2" w:name="548"/>
      <w:bookmarkEnd w:id="372"/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участником холдинга любого из установленных приложением 2 к Указу </w:t>
      </w:r>
      <w:r w:rsidR="00140AB6" w:rsidRPr="00140A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 xml:space="preserve"> 385 требований применения налоговой льготы, применяемой при безвозмездной передаче, обязывает его включить в состав внереализационных доходов при исчис</w:t>
      </w:r>
      <w:r w:rsidRPr="00140AB6">
        <w:rPr>
          <w:rFonts w:ascii="Times New Roman" w:hAnsi="Times New Roman" w:cs="Times New Roman"/>
          <w:color w:val="000000"/>
          <w:sz w:val="24"/>
          <w:szCs w:val="24"/>
        </w:rPr>
        <w:t>лении налога на прибыль и единого налога для производителей сельскохозяйственной продукции суммы безвозмездной передачи с соответствующей даты.</w:t>
      </w:r>
    </w:p>
    <w:p w:rsidR="000006C2" w:rsidRPr="00140AB6" w:rsidRDefault="000006C2" w:rsidP="00140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373" w:name="622"/>
      <w:bookmarkStart w:id="374" w:name="627"/>
      <w:bookmarkEnd w:id="373"/>
      <w:bookmarkEnd w:id="374"/>
      <w:r w:rsidRPr="00140AB6">
        <w:rPr>
          <w:rFonts w:ascii="Arial" w:hAnsi="Arial" w:cs="Arial"/>
          <w:color w:val="000000"/>
          <w:sz w:val="24"/>
          <w:szCs w:val="24"/>
        </w:rPr>
        <w:t> </w:t>
      </w:r>
      <w:bookmarkStart w:id="375" w:name="_GoBack"/>
      <w:bookmarkEnd w:id="375"/>
    </w:p>
    <w:sectPr w:rsidR="000006C2" w:rsidRPr="00140AB6">
      <w:headerReference w:type="default" r:id="rId8"/>
      <w:footerReference w:type="default" r:id="rId9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C2" w:rsidRDefault="000006C2">
      <w:pPr>
        <w:spacing w:after="0" w:line="240" w:lineRule="auto"/>
      </w:pPr>
      <w:r>
        <w:separator/>
      </w:r>
    </w:p>
  </w:endnote>
  <w:endnote w:type="continuationSeparator" w:id="0">
    <w:p w:rsidR="000006C2" w:rsidRDefault="0000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6C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C2" w:rsidRDefault="000006C2">
      <w:pPr>
        <w:spacing w:after="0" w:line="240" w:lineRule="auto"/>
      </w:pPr>
      <w:r>
        <w:separator/>
      </w:r>
    </w:p>
  </w:footnote>
  <w:footnote w:type="continuationSeparator" w:id="0">
    <w:p w:rsidR="000006C2" w:rsidRDefault="0000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6C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B6"/>
    <w:rsid w:val="000006C2"/>
    <w:rsid w:val="001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338A4"/>
  <w14:defaultImageDpi w14:val="0"/>
  <w15:docId w15:val="{2FE50129-2DE7-474D-8E58-93FF38F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9916</Words>
  <Characters>56525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Фомченко Н.Л.</dc:creator>
  <cp:keywords/>
  <dc:description/>
  <cp:lastModifiedBy>Фомченко Н.Л.</cp:lastModifiedBy>
  <cp:revision>2</cp:revision>
  <dcterms:created xsi:type="dcterms:W3CDTF">2023-07-17T06:55:00Z</dcterms:created>
  <dcterms:modified xsi:type="dcterms:W3CDTF">2023-07-17T06:55:00Z</dcterms:modified>
</cp:coreProperties>
</file>